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19094" w14:textId="3E38C9BD" w:rsidR="00175422" w:rsidRPr="001E78C1" w:rsidRDefault="00175422" w:rsidP="001E78C1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E78C1">
        <w:rPr>
          <w:rFonts w:ascii="Arial" w:hAnsi="Arial" w:cs="Arial"/>
          <w:b/>
          <w:bCs/>
          <w:sz w:val="22"/>
          <w:szCs w:val="22"/>
        </w:rPr>
        <w:t>Anexo</w:t>
      </w:r>
      <w:r w:rsidR="001E78C1" w:rsidRPr="001E78C1">
        <w:rPr>
          <w:rFonts w:ascii="Arial" w:hAnsi="Arial" w:cs="Arial"/>
          <w:b/>
          <w:bCs/>
          <w:sz w:val="22"/>
          <w:szCs w:val="22"/>
        </w:rPr>
        <w:t xml:space="preserve"> 4. A</w:t>
      </w:r>
      <w:r w:rsidRPr="001E78C1">
        <w:rPr>
          <w:rFonts w:ascii="Arial" w:hAnsi="Arial" w:cs="Arial"/>
          <w:b/>
          <w:bCs/>
          <w:sz w:val="22"/>
          <w:szCs w:val="22"/>
        </w:rPr>
        <w:t>nálisis Estadístico y Conclusiones del Estudio Empírico</w:t>
      </w:r>
    </w:p>
    <w:p w14:paraId="30B46445" w14:textId="77777777" w:rsidR="00175422" w:rsidRPr="001E78C1" w:rsidRDefault="00175422" w:rsidP="001E78C1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1E78C1">
        <w:rPr>
          <w:rFonts w:ascii="Arial" w:hAnsi="Arial" w:cs="Arial"/>
          <w:b/>
          <w:bCs/>
          <w:sz w:val="22"/>
          <w:szCs w:val="22"/>
        </w:rPr>
        <w:t>1. Análisis estadístico descriptivo del instrumento aplicado</w:t>
      </w:r>
    </w:p>
    <w:p w14:paraId="13777121" w14:textId="77777777" w:rsidR="00175422" w:rsidRPr="001E78C1" w:rsidRDefault="00175422" w:rsidP="001E78C1">
      <w:pPr>
        <w:spacing w:line="480" w:lineRule="auto"/>
        <w:ind w:firstLine="708"/>
        <w:rPr>
          <w:rFonts w:ascii="Arial" w:hAnsi="Arial" w:cs="Arial"/>
          <w:sz w:val="22"/>
          <w:szCs w:val="22"/>
        </w:rPr>
      </w:pPr>
      <w:r w:rsidRPr="001E78C1">
        <w:rPr>
          <w:rFonts w:ascii="Arial" w:hAnsi="Arial" w:cs="Arial"/>
          <w:sz w:val="22"/>
          <w:szCs w:val="22"/>
        </w:rPr>
        <w:t>El análisis estadístico se realizó mediante estadística descriptiva, incluyendo media aritmética, desviación estándar y análisis porcentual por categorías de respuesta. Dado que el instrumento fue estructurado bajo escala tipo Likert de cinco puntos, los resultados permiten interpretar niveles de percepción organizacional respecto a la planeación financiera y su soporte tecnológico (Likert, 1932; Hernández-Sampieri et al., 2018).</w:t>
      </w:r>
    </w:p>
    <w:p w14:paraId="683BAC18" w14:textId="77777777" w:rsidR="00175422" w:rsidRPr="001E78C1" w:rsidRDefault="00175422" w:rsidP="001E78C1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1E78C1">
        <w:rPr>
          <w:rFonts w:ascii="Arial" w:hAnsi="Arial" w:cs="Arial"/>
          <w:b/>
          <w:bCs/>
          <w:sz w:val="22"/>
          <w:szCs w:val="22"/>
          <w:lang w:val="en-US"/>
        </w:rPr>
        <w:t xml:space="preserve">1.1 </w:t>
      </w:r>
      <w:proofErr w:type="spellStart"/>
      <w:r w:rsidRPr="001E78C1">
        <w:rPr>
          <w:rFonts w:ascii="Arial" w:hAnsi="Arial" w:cs="Arial"/>
          <w:b/>
          <w:bCs/>
          <w:sz w:val="22"/>
          <w:szCs w:val="22"/>
          <w:lang w:val="en-US"/>
        </w:rPr>
        <w:t>Resultados</w:t>
      </w:r>
      <w:proofErr w:type="spellEnd"/>
      <w:r w:rsidRPr="001E78C1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1E78C1">
        <w:rPr>
          <w:rFonts w:ascii="Arial" w:hAnsi="Arial" w:cs="Arial"/>
          <w:b/>
          <w:bCs/>
          <w:sz w:val="22"/>
          <w:szCs w:val="22"/>
          <w:lang w:val="en-US"/>
        </w:rPr>
        <w:t>por</w:t>
      </w:r>
      <w:proofErr w:type="spellEnd"/>
      <w:r w:rsidRPr="001E78C1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1E78C1">
        <w:rPr>
          <w:rFonts w:ascii="Arial" w:hAnsi="Arial" w:cs="Arial"/>
          <w:b/>
          <w:bCs/>
          <w:sz w:val="22"/>
          <w:szCs w:val="22"/>
          <w:lang w:val="en-US"/>
        </w:rPr>
        <w:t>dimensión</w:t>
      </w:r>
      <w:proofErr w:type="spellEnd"/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1792"/>
        <w:gridCol w:w="1666"/>
        <w:gridCol w:w="1715"/>
        <w:gridCol w:w="1789"/>
        <w:gridCol w:w="1866"/>
      </w:tblGrid>
      <w:tr w:rsidR="00175422" w:rsidRPr="001E78C1" w14:paraId="089758BE" w14:textId="77777777" w:rsidTr="001754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5445FBE5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Dimension</w:t>
            </w:r>
          </w:p>
        </w:tc>
        <w:tc>
          <w:tcPr>
            <w:tcW w:w="1872" w:type="dxa"/>
          </w:tcPr>
          <w:p w14:paraId="1BDD5E9B" w14:textId="77777777" w:rsidR="00175422" w:rsidRPr="001E78C1" w:rsidRDefault="00175422" w:rsidP="001E78C1">
            <w:pPr>
              <w:spacing w:after="16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Media</w:t>
            </w:r>
          </w:p>
        </w:tc>
        <w:tc>
          <w:tcPr>
            <w:tcW w:w="1872" w:type="dxa"/>
          </w:tcPr>
          <w:p w14:paraId="16830EB1" w14:textId="77777777" w:rsidR="00175422" w:rsidRPr="001E78C1" w:rsidRDefault="00175422" w:rsidP="001E78C1">
            <w:pPr>
              <w:spacing w:after="16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DesvEst</w:t>
            </w:r>
            <w:proofErr w:type="spellEnd"/>
          </w:p>
        </w:tc>
        <w:tc>
          <w:tcPr>
            <w:tcW w:w="1872" w:type="dxa"/>
          </w:tcPr>
          <w:p w14:paraId="3CD7607C" w14:textId="77777777" w:rsidR="00175422" w:rsidRPr="001E78C1" w:rsidRDefault="00175422" w:rsidP="001E78C1">
            <w:pPr>
              <w:spacing w:after="16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Top2Box_% (&gt;=4.0)</w:t>
            </w:r>
          </w:p>
        </w:tc>
        <w:tc>
          <w:tcPr>
            <w:tcW w:w="1872" w:type="dxa"/>
          </w:tcPr>
          <w:p w14:paraId="2D9D5A20" w14:textId="77777777" w:rsidR="00175422" w:rsidRPr="001E78C1" w:rsidRDefault="00175422" w:rsidP="001E78C1">
            <w:pPr>
              <w:spacing w:after="16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Bottom2Box_% (&lt;3.0)</w:t>
            </w:r>
          </w:p>
        </w:tc>
      </w:tr>
      <w:tr w:rsidR="00175422" w:rsidRPr="001E78C1" w14:paraId="6ADF057D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31341FB4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Planeación</w:t>
            </w:r>
            <w:proofErr w:type="spellEnd"/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financiera</w:t>
            </w:r>
            <w:proofErr w:type="spellEnd"/>
          </w:p>
        </w:tc>
        <w:tc>
          <w:tcPr>
            <w:tcW w:w="1872" w:type="dxa"/>
          </w:tcPr>
          <w:p w14:paraId="37B11C73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3.67</w:t>
            </w:r>
          </w:p>
        </w:tc>
        <w:tc>
          <w:tcPr>
            <w:tcW w:w="1872" w:type="dxa"/>
          </w:tcPr>
          <w:p w14:paraId="209D3C60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0.95</w:t>
            </w:r>
          </w:p>
        </w:tc>
        <w:tc>
          <w:tcPr>
            <w:tcW w:w="1872" w:type="dxa"/>
          </w:tcPr>
          <w:p w14:paraId="4B21E51F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53.33</w:t>
            </w:r>
          </w:p>
        </w:tc>
        <w:tc>
          <w:tcPr>
            <w:tcW w:w="1872" w:type="dxa"/>
          </w:tcPr>
          <w:p w14:paraId="6E5FC394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16.67</w:t>
            </w:r>
          </w:p>
        </w:tc>
      </w:tr>
      <w:tr w:rsidR="00175422" w:rsidRPr="001E78C1" w14:paraId="56077682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08E28F04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Tecnología</w:t>
            </w:r>
          </w:p>
        </w:tc>
        <w:tc>
          <w:tcPr>
            <w:tcW w:w="1872" w:type="dxa"/>
          </w:tcPr>
          <w:p w14:paraId="769530A4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3.07</w:t>
            </w:r>
          </w:p>
        </w:tc>
        <w:tc>
          <w:tcPr>
            <w:tcW w:w="1872" w:type="dxa"/>
          </w:tcPr>
          <w:p w14:paraId="5477F984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1.0</w:t>
            </w:r>
          </w:p>
        </w:tc>
        <w:tc>
          <w:tcPr>
            <w:tcW w:w="1872" w:type="dxa"/>
          </w:tcPr>
          <w:p w14:paraId="19AC1333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23.33</w:t>
            </w:r>
          </w:p>
        </w:tc>
        <w:tc>
          <w:tcPr>
            <w:tcW w:w="1872" w:type="dxa"/>
          </w:tcPr>
          <w:p w14:paraId="7969419F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40.0</w:t>
            </w:r>
          </w:p>
        </w:tc>
      </w:tr>
      <w:tr w:rsidR="00175422" w:rsidRPr="001E78C1" w14:paraId="7F0E8EB3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775A3BE7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Información</w:t>
            </w:r>
            <w:proofErr w:type="spellEnd"/>
          </w:p>
        </w:tc>
        <w:tc>
          <w:tcPr>
            <w:tcW w:w="1872" w:type="dxa"/>
          </w:tcPr>
          <w:p w14:paraId="5BB91596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2.83</w:t>
            </w:r>
          </w:p>
        </w:tc>
        <w:tc>
          <w:tcPr>
            <w:tcW w:w="1872" w:type="dxa"/>
          </w:tcPr>
          <w:p w14:paraId="667E0151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1.05</w:t>
            </w:r>
          </w:p>
        </w:tc>
        <w:tc>
          <w:tcPr>
            <w:tcW w:w="1872" w:type="dxa"/>
          </w:tcPr>
          <w:p w14:paraId="0B057ADD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16.67</w:t>
            </w:r>
          </w:p>
        </w:tc>
        <w:tc>
          <w:tcPr>
            <w:tcW w:w="1872" w:type="dxa"/>
          </w:tcPr>
          <w:p w14:paraId="6C471C1E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53.33</w:t>
            </w:r>
          </w:p>
        </w:tc>
      </w:tr>
      <w:tr w:rsidR="00175422" w:rsidRPr="001E78C1" w14:paraId="6DFD8AD1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6C856721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Costos</w:t>
            </w:r>
          </w:p>
        </w:tc>
        <w:tc>
          <w:tcPr>
            <w:tcW w:w="1872" w:type="dxa"/>
          </w:tcPr>
          <w:p w14:paraId="54D251CD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3.27</w:t>
            </w:r>
          </w:p>
        </w:tc>
        <w:tc>
          <w:tcPr>
            <w:tcW w:w="1872" w:type="dxa"/>
          </w:tcPr>
          <w:p w14:paraId="23990635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1.06</w:t>
            </w:r>
          </w:p>
        </w:tc>
        <w:tc>
          <w:tcPr>
            <w:tcW w:w="1872" w:type="dxa"/>
          </w:tcPr>
          <w:p w14:paraId="408FE5D6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36.67</w:t>
            </w:r>
          </w:p>
        </w:tc>
        <w:tc>
          <w:tcPr>
            <w:tcW w:w="1872" w:type="dxa"/>
          </w:tcPr>
          <w:p w14:paraId="6B7120A0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26.67</w:t>
            </w:r>
          </w:p>
        </w:tc>
      </w:tr>
      <w:tr w:rsidR="00175422" w:rsidRPr="001E78C1" w14:paraId="1578D1D9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32C354F6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Ingresos</w:t>
            </w:r>
          </w:p>
        </w:tc>
        <w:tc>
          <w:tcPr>
            <w:tcW w:w="1872" w:type="dxa"/>
          </w:tcPr>
          <w:p w14:paraId="0A9F1D8A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3.17</w:t>
            </w:r>
          </w:p>
        </w:tc>
        <w:tc>
          <w:tcPr>
            <w:tcW w:w="1872" w:type="dxa"/>
          </w:tcPr>
          <w:p w14:paraId="153CE524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0.95</w:t>
            </w:r>
          </w:p>
        </w:tc>
        <w:tc>
          <w:tcPr>
            <w:tcW w:w="1872" w:type="dxa"/>
          </w:tcPr>
          <w:p w14:paraId="5C2F5DC8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26.67</w:t>
            </w:r>
          </w:p>
        </w:tc>
        <w:tc>
          <w:tcPr>
            <w:tcW w:w="1872" w:type="dxa"/>
          </w:tcPr>
          <w:p w14:paraId="202DBB58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33.33</w:t>
            </w:r>
          </w:p>
        </w:tc>
      </w:tr>
    </w:tbl>
    <w:p w14:paraId="2739486A" w14:textId="77777777" w:rsidR="001E78C1" w:rsidRDefault="001E78C1" w:rsidP="001E78C1">
      <w:pPr>
        <w:spacing w:line="480" w:lineRule="auto"/>
        <w:rPr>
          <w:rFonts w:ascii="Arial" w:hAnsi="Arial" w:cs="Arial"/>
          <w:sz w:val="22"/>
          <w:szCs w:val="22"/>
        </w:rPr>
      </w:pPr>
    </w:p>
    <w:p w14:paraId="5717321F" w14:textId="0B71C904" w:rsidR="00175422" w:rsidRDefault="00175422" w:rsidP="00234FCC">
      <w:pPr>
        <w:spacing w:line="480" w:lineRule="auto"/>
        <w:ind w:firstLine="708"/>
        <w:rPr>
          <w:rFonts w:ascii="Arial" w:hAnsi="Arial" w:cs="Arial"/>
          <w:sz w:val="22"/>
          <w:szCs w:val="22"/>
        </w:rPr>
      </w:pPr>
      <w:r w:rsidRPr="001E78C1">
        <w:rPr>
          <w:rFonts w:ascii="Arial" w:hAnsi="Arial" w:cs="Arial"/>
          <w:sz w:val="22"/>
          <w:szCs w:val="22"/>
        </w:rPr>
        <w:t>La dimensión Planeación financiera presenta la mayor valoración promedio, seguida de Costos e Ingresos. Las dimensiones Tecnología e Información evidencian menores niveles de valoración, lo que sugiere oportunidades de fortalecimiento en integración de datos y automatización.</w:t>
      </w:r>
    </w:p>
    <w:p w14:paraId="16E9F4E8" w14:textId="77777777" w:rsidR="001E78C1" w:rsidRPr="001E78C1" w:rsidRDefault="001E78C1" w:rsidP="001E78C1">
      <w:pPr>
        <w:spacing w:line="480" w:lineRule="auto"/>
        <w:rPr>
          <w:rFonts w:ascii="Arial" w:hAnsi="Arial" w:cs="Arial"/>
          <w:sz w:val="22"/>
          <w:szCs w:val="22"/>
        </w:rPr>
      </w:pPr>
    </w:p>
    <w:p w14:paraId="2FEAA342" w14:textId="77777777" w:rsidR="00175422" w:rsidRPr="001E78C1" w:rsidRDefault="00175422" w:rsidP="001E78C1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1E78C1">
        <w:rPr>
          <w:rFonts w:ascii="Arial" w:hAnsi="Arial" w:cs="Arial"/>
          <w:b/>
          <w:bCs/>
          <w:sz w:val="22"/>
          <w:szCs w:val="22"/>
          <w:lang w:val="en-US"/>
        </w:rPr>
        <w:t xml:space="preserve">1.2 </w:t>
      </w:r>
      <w:proofErr w:type="spellStart"/>
      <w:r w:rsidRPr="001E78C1">
        <w:rPr>
          <w:rFonts w:ascii="Arial" w:hAnsi="Arial" w:cs="Arial"/>
          <w:b/>
          <w:bCs/>
          <w:sz w:val="22"/>
          <w:szCs w:val="22"/>
          <w:lang w:val="en-US"/>
        </w:rPr>
        <w:t>Resultados</w:t>
      </w:r>
      <w:proofErr w:type="spellEnd"/>
      <w:r w:rsidRPr="001E78C1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1E78C1">
        <w:rPr>
          <w:rFonts w:ascii="Arial" w:hAnsi="Arial" w:cs="Arial"/>
          <w:b/>
          <w:bCs/>
          <w:sz w:val="22"/>
          <w:szCs w:val="22"/>
          <w:lang w:val="en-US"/>
        </w:rPr>
        <w:t>por</w:t>
      </w:r>
      <w:proofErr w:type="spellEnd"/>
      <w:r w:rsidRPr="001E78C1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1E78C1">
        <w:rPr>
          <w:rFonts w:ascii="Arial" w:hAnsi="Arial" w:cs="Arial"/>
          <w:b/>
          <w:bCs/>
          <w:sz w:val="22"/>
          <w:szCs w:val="22"/>
          <w:lang w:val="en-US"/>
        </w:rPr>
        <w:t>pregunta</w:t>
      </w:r>
      <w:proofErr w:type="spellEnd"/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3823"/>
        <w:gridCol w:w="1480"/>
        <w:gridCol w:w="1653"/>
        <w:gridCol w:w="1872"/>
      </w:tblGrid>
      <w:tr w:rsidR="00175422" w:rsidRPr="001E78C1" w14:paraId="084D3760" w14:textId="77777777" w:rsidTr="001754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5785E634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Ítem</w:t>
            </w:r>
            <w:proofErr w:type="spellEnd"/>
          </w:p>
        </w:tc>
        <w:tc>
          <w:tcPr>
            <w:tcW w:w="2340" w:type="dxa"/>
          </w:tcPr>
          <w:p w14:paraId="46DD40D1" w14:textId="77777777" w:rsidR="00175422" w:rsidRPr="001E78C1" w:rsidRDefault="00175422" w:rsidP="001E78C1">
            <w:pPr>
              <w:spacing w:after="16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Media</w:t>
            </w:r>
          </w:p>
        </w:tc>
        <w:tc>
          <w:tcPr>
            <w:tcW w:w="2340" w:type="dxa"/>
          </w:tcPr>
          <w:p w14:paraId="310C694B" w14:textId="77777777" w:rsidR="00175422" w:rsidRPr="001E78C1" w:rsidRDefault="00175422" w:rsidP="001E78C1">
            <w:pPr>
              <w:spacing w:after="16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Top2Box (4-</w:t>
            </w:r>
            <w:proofErr w:type="gramStart"/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5)%</w:t>
            </w:r>
            <w:proofErr w:type="gramEnd"/>
          </w:p>
        </w:tc>
        <w:tc>
          <w:tcPr>
            <w:tcW w:w="2340" w:type="dxa"/>
          </w:tcPr>
          <w:p w14:paraId="44303425" w14:textId="77777777" w:rsidR="00175422" w:rsidRPr="001E78C1" w:rsidRDefault="00175422" w:rsidP="001E78C1">
            <w:pPr>
              <w:spacing w:after="16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Bottom2Box (1-</w:t>
            </w:r>
            <w:proofErr w:type="gramStart"/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2)%</w:t>
            </w:r>
            <w:proofErr w:type="gramEnd"/>
          </w:p>
        </w:tc>
      </w:tr>
      <w:tr w:rsidR="00175422" w:rsidRPr="001E78C1" w14:paraId="4E313605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15521FBD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P1_ProcesosFormales</w:t>
            </w:r>
          </w:p>
        </w:tc>
        <w:tc>
          <w:tcPr>
            <w:tcW w:w="2340" w:type="dxa"/>
          </w:tcPr>
          <w:p w14:paraId="0A98628A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3.67</w:t>
            </w:r>
          </w:p>
        </w:tc>
        <w:tc>
          <w:tcPr>
            <w:tcW w:w="2340" w:type="dxa"/>
          </w:tcPr>
          <w:p w14:paraId="1309098C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53.3</w:t>
            </w:r>
          </w:p>
        </w:tc>
        <w:tc>
          <w:tcPr>
            <w:tcW w:w="2340" w:type="dxa"/>
          </w:tcPr>
          <w:p w14:paraId="5CC0094A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13.3</w:t>
            </w:r>
          </w:p>
        </w:tc>
      </w:tr>
      <w:tr w:rsidR="00175422" w:rsidRPr="001E78C1" w14:paraId="02B598E7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50F24B5C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P2_AlineacionEstrategica</w:t>
            </w:r>
          </w:p>
        </w:tc>
        <w:tc>
          <w:tcPr>
            <w:tcW w:w="2340" w:type="dxa"/>
          </w:tcPr>
          <w:p w14:paraId="7A41F7B0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3.67</w:t>
            </w:r>
          </w:p>
        </w:tc>
        <w:tc>
          <w:tcPr>
            <w:tcW w:w="2340" w:type="dxa"/>
          </w:tcPr>
          <w:p w14:paraId="4FC81106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60.0</w:t>
            </w:r>
          </w:p>
        </w:tc>
        <w:tc>
          <w:tcPr>
            <w:tcW w:w="2340" w:type="dxa"/>
          </w:tcPr>
          <w:p w14:paraId="4941F735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13.3</w:t>
            </w:r>
          </w:p>
        </w:tc>
      </w:tr>
      <w:tr w:rsidR="00175422" w:rsidRPr="001E78C1" w14:paraId="171EDDED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0BB797EF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P3_UsoHerramientas</w:t>
            </w:r>
          </w:p>
        </w:tc>
        <w:tc>
          <w:tcPr>
            <w:tcW w:w="2340" w:type="dxa"/>
          </w:tcPr>
          <w:p w14:paraId="1D4C6047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3.2</w:t>
            </w:r>
          </w:p>
        </w:tc>
        <w:tc>
          <w:tcPr>
            <w:tcW w:w="2340" w:type="dxa"/>
          </w:tcPr>
          <w:p w14:paraId="161653F6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40.0</w:t>
            </w:r>
          </w:p>
        </w:tc>
        <w:tc>
          <w:tcPr>
            <w:tcW w:w="2340" w:type="dxa"/>
          </w:tcPr>
          <w:p w14:paraId="719FB63B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26.7</w:t>
            </w:r>
          </w:p>
        </w:tc>
      </w:tr>
      <w:tr w:rsidR="00175422" w:rsidRPr="001E78C1" w14:paraId="60B97BF1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163478EF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P4_Automatizacion</w:t>
            </w:r>
          </w:p>
        </w:tc>
        <w:tc>
          <w:tcPr>
            <w:tcW w:w="2340" w:type="dxa"/>
          </w:tcPr>
          <w:p w14:paraId="76102643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2.93</w:t>
            </w:r>
          </w:p>
        </w:tc>
        <w:tc>
          <w:tcPr>
            <w:tcW w:w="2340" w:type="dxa"/>
          </w:tcPr>
          <w:p w14:paraId="6498D671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33.3</w:t>
            </w:r>
          </w:p>
        </w:tc>
        <w:tc>
          <w:tcPr>
            <w:tcW w:w="2340" w:type="dxa"/>
          </w:tcPr>
          <w:p w14:paraId="5667A1DD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36.7</w:t>
            </w:r>
          </w:p>
        </w:tc>
      </w:tr>
      <w:tr w:rsidR="00175422" w:rsidRPr="001E78C1" w14:paraId="132AAC1E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46D4B287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P5_ConfiabilidadOportunidad</w:t>
            </w:r>
          </w:p>
        </w:tc>
        <w:tc>
          <w:tcPr>
            <w:tcW w:w="2340" w:type="dxa"/>
          </w:tcPr>
          <w:p w14:paraId="68D1C70C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3.0</w:t>
            </w:r>
          </w:p>
        </w:tc>
        <w:tc>
          <w:tcPr>
            <w:tcW w:w="2340" w:type="dxa"/>
          </w:tcPr>
          <w:p w14:paraId="52CE07AD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33.3</w:t>
            </w:r>
          </w:p>
        </w:tc>
        <w:tc>
          <w:tcPr>
            <w:tcW w:w="2340" w:type="dxa"/>
          </w:tcPr>
          <w:p w14:paraId="45095C67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40.0</w:t>
            </w:r>
          </w:p>
        </w:tc>
      </w:tr>
      <w:tr w:rsidR="00175422" w:rsidRPr="001E78C1" w14:paraId="6D225898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6719C66D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P6_IntegracionFuentes</w:t>
            </w:r>
          </w:p>
        </w:tc>
        <w:tc>
          <w:tcPr>
            <w:tcW w:w="2340" w:type="dxa"/>
          </w:tcPr>
          <w:p w14:paraId="62DE2108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2.67</w:t>
            </w:r>
          </w:p>
        </w:tc>
        <w:tc>
          <w:tcPr>
            <w:tcW w:w="2340" w:type="dxa"/>
          </w:tcPr>
          <w:p w14:paraId="7EA61D26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23.3</w:t>
            </w:r>
          </w:p>
        </w:tc>
        <w:tc>
          <w:tcPr>
            <w:tcW w:w="2340" w:type="dxa"/>
          </w:tcPr>
          <w:p w14:paraId="45B93490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50.0</w:t>
            </w:r>
          </w:p>
        </w:tc>
      </w:tr>
      <w:tr w:rsidR="00175422" w:rsidRPr="001E78C1" w14:paraId="2A58E0E2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59ADA8B7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P7_OportunidadesOptCostos</w:t>
            </w:r>
          </w:p>
        </w:tc>
        <w:tc>
          <w:tcPr>
            <w:tcW w:w="2340" w:type="dxa"/>
          </w:tcPr>
          <w:p w14:paraId="762E6B17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3.3</w:t>
            </w:r>
          </w:p>
        </w:tc>
        <w:tc>
          <w:tcPr>
            <w:tcW w:w="2340" w:type="dxa"/>
          </w:tcPr>
          <w:p w14:paraId="6DCF3FCC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46.7</w:t>
            </w:r>
          </w:p>
        </w:tc>
        <w:tc>
          <w:tcPr>
            <w:tcW w:w="2340" w:type="dxa"/>
          </w:tcPr>
          <w:p w14:paraId="42CF6B6C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23.3</w:t>
            </w:r>
          </w:p>
        </w:tc>
      </w:tr>
      <w:tr w:rsidR="00175422" w:rsidRPr="001E78C1" w14:paraId="45A9AB93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2EB7FEFE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P8_SeguimientoCostos</w:t>
            </w:r>
          </w:p>
        </w:tc>
        <w:tc>
          <w:tcPr>
            <w:tcW w:w="2340" w:type="dxa"/>
          </w:tcPr>
          <w:p w14:paraId="63BE1549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3.23</w:t>
            </w:r>
          </w:p>
        </w:tc>
        <w:tc>
          <w:tcPr>
            <w:tcW w:w="2340" w:type="dxa"/>
          </w:tcPr>
          <w:p w14:paraId="0E438882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40.0</w:t>
            </w:r>
          </w:p>
        </w:tc>
        <w:tc>
          <w:tcPr>
            <w:tcW w:w="2340" w:type="dxa"/>
          </w:tcPr>
          <w:p w14:paraId="4FD8A7C9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26.7</w:t>
            </w:r>
          </w:p>
        </w:tc>
      </w:tr>
      <w:tr w:rsidR="00175422" w:rsidRPr="001E78C1" w14:paraId="4C6B2330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19281347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P9_ProyeccionControlIngresos</w:t>
            </w:r>
          </w:p>
        </w:tc>
        <w:tc>
          <w:tcPr>
            <w:tcW w:w="2340" w:type="dxa"/>
          </w:tcPr>
          <w:p w14:paraId="31783B59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3.3</w:t>
            </w:r>
          </w:p>
        </w:tc>
        <w:tc>
          <w:tcPr>
            <w:tcW w:w="2340" w:type="dxa"/>
          </w:tcPr>
          <w:p w14:paraId="6C8993C8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50.0</w:t>
            </w:r>
          </w:p>
        </w:tc>
        <w:tc>
          <w:tcPr>
            <w:tcW w:w="2340" w:type="dxa"/>
          </w:tcPr>
          <w:p w14:paraId="74F74050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23.3</w:t>
            </w:r>
          </w:p>
        </w:tc>
      </w:tr>
      <w:tr w:rsidR="00175422" w:rsidRPr="001E78C1" w14:paraId="617780E2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4531D875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P10_AnticipacionRiesgosIngresos</w:t>
            </w:r>
          </w:p>
        </w:tc>
        <w:tc>
          <w:tcPr>
            <w:tcW w:w="2340" w:type="dxa"/>
          </w:tcPr>
          <w:p w14:paraId="2449C930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3.03</w:t>
            </w:r>
          </w:p>
        </w:tc>
        <w:tc>
          <w:tcPr>
            <w:tcW w:w="2340" w:type="dxa"/>
          </w:tcPr>
          <w:p w14:paraId="3DB7F142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33.3</w:t>
            </w:r>
          </w:p>
        </w:tc>
        <w:tc>
          <w:tcPr>
            <w:tcW w:w="2340" w:type="dxa"/>
          </w:tcPr>
          <w:p w14:paraId="54AF3B01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26.7</w:t>
            </w:r>
          </w:p>
        </w:tc>
      </w:tr>
    </w:tbl>
    <w:p w14:paraId="49907707" w14:textId="77777777" w:rsidR="001E78C1" w:rsidRDefault="001E78C1" w:rsidP="001E78C1">
      <w:pPr>
        <w:spacing w:line="480" w:lineRule="auto"/>
        <w:rPr>
          <w:rFonts w:ascii="Arial" w:hAnsi="Arial" w:cs="Arial"/>
          <w:sz w:val="22"/>
          <w:szCs w:val="22"/>
        </w:rPr>
      </w:pPr>
    </w:p>
    <w:p w14:paraId="4098510B" w14:textId="28651983" w:rsidR="00175422" w:rsidRPr="001E78C1" w:rsidRDefault="00175422" w:rsidP="00234FCC">
      <w:pPr>
        <w:spacing w:line="480" w:lineRule="auto"/>
        <w:ind w:firstLine="708"/>
        <w:rPr>
          <w:rFonts w:ascii="Arial" w:hAnsi="Arial" w:cs="Arial"/>
          <w:sz w:val="22"/>
          <w:szCs w:val="22"/>
        </w:rPr>
      </w:pPr>
      <w:r w:rsidRPr="001E78C1">
        <w:rPr>
          <w:rFonts w:ascii="Arial" w:hAnsi="Arial" w:cs="Arial"/>
          <w:sz w:val="22"/>
          <w:szCs w:val="22"/>
        </w:rPr>
        <w:t>El ítem con menor valoración corresponde a la integración de fuentes de información, mientras que los procesos formales y la alineación estratégica presentan los niveles más altos de acuerdo. Estos resultados evidencian una madurez estructural en la planeación, pero una brecha en la arquitectura de datos y soporte tecnológico.</w:t>
      </w:r>
    </w:p>
    <w:p w14:paraId="04F60EA1" w14:textId="77777777" w:rsidR="001E78C1" w:rsidRDefault="001E78C1" w:rsidP="001E78C1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E69DEE6" w14:textId="5B9BD98E" w:rsidR="00175422" w:rsidRPr="001E78C1" w:rsidRDefault="00175422" w:rsidP="001E78C1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1E78C1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1.3 </w:t>
      </w:r>
      <w:proofErr w:type="spellStart"/>
      <w:r w:rsidRPr="001E78C1">
        <w:rPr>
          <w:rFonts w:ascii="Arial" w:hAnsi="Arial" w:cs="Arial"/>
          <w:b/>
          <w:bCs/>
          <w:sz w:val="22"/>
          <w:szCs w:val="22"/>
          <w:lang w:val="en-US"/>
        </w:rPr>
        <w:t>Confiabilidad</w:t>
      </w:r>
      <w:proofErr w:type="spellEnd"/>
      <w:r w:rsidRPr="001E78C1">
        <w:rPr>
          <w:rFonts w:ascii="Arial" w:hAnsi="Arial" w:cs="Arial"/>
          <w:b/>
          <w:bCs/>
          <w:sz w:val="22"/>
          <w:szCs w:val="22"/>
          <w:lang w:val="en-US"/>
        </w:rPr>
        <w:t xml:space="preserve"> del </w:t>
      </w:r>
      <w:proofErr w:type="spellStart"/>
      <w:r w:rsidRPr="001E78C1">
        <w:rPr>
          <w:rFonts w:ascii="Arial" w:hAnsi="Arial" w:cs="Arial"/>
          <w:b/>
          <w:bCs/>
          <w:sz w:val="22"/>
          <w:szCs w:val="22"/>
          <w:lang w:val="en-US"/>
        </w:rPr>
        <w:t>instrumento</w:t>
      </w:r>
      <w:proofErr w:type="spellEnd"/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4391"/>
        <w:gridCol w:w="4437"/>
      </w:tblGrid>
      <w:tr w:rsidR="00175422" w:rsidRPr="001E78C1" w14:paraId="5635C610" w14:textId="77777777" w:rsidTr="001754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2E98F778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Dimension</w:t>
            </w:r>
          </w:p>
        </w:tc>
        <w:tc>
          <w:tcPr>
            <w:tcW w:w="4680" w:type="dxa"/>
          </w:tcPr>
          <w:p w14:paraId="3D5A8F3C" w14:textId="77777777" w:rsidR="00175422" w:rsidRPr="001E78C1" w:rsidRDefault="00175422" w:rsidP="001E78C1">
            <w:pPr>
              <w:spacing w:after="16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Alpha_Cronbach</w:t>
            </w:r>
          </w:p>
        </w:tc>
      </w:tr>
      <w:tr w:rsidR="00175422" w:rsidRPr="001E78C1" w14:paraId="6AB36C6A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67FC48C6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Planeación</w:t>
            </w:r>
            <w:proofErr w:type="spellEnd"/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financiera</w:t>
            </w:r>
            <w:proofErr w:type="spellEnd"/>
          </w:p>
        </w:tc>
        <w:tc>
          <w:tcPr>
            <w:tcW w:w="4680" w:type="dxa"/>
          </w:tcPr>
          <w:p w14:paraId="5480C286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0.79</w:t>
            </w:r>
          </w:p>
        </w:tc>
      </w:tr>
      <w:tr w:rsidR="00175422" w:rsidRPr="001E78C1" w14:paraId="227578BF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00530144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Tecnología</w:t>
            </w:r>
          </w:p>
        </w:tc>
        <w:tc>
          <w:tcPr>
            <w:tcW w:w="4680" w:type="dxa"/>
          </w:tcPr>
          <w:p w14:paraId="0B64509E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0.741</w:t>
            </w:r>
          </w:p>
        </w:tc>
      </w:tr>
      <w:tr w:rsidR="00175422" w:rsidRPr="001E78C1" w14:paraId="4C9B4F05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0FA5F3D9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Información</w:t>
            </w:r>
            <w:proofErr w:type="spellEnd"/>
          </w:p>
        </w:tc>
        <w:tc>
          <w:tcPr>
            <w:tcW w:w="4680" w:type="dxa"/>
          </w:tcPr>
          <w:p w14:paraId="6C888676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0.808</w:t>
            </w:r>
          </w:p>
        </w:tc>
      </w:tr>
      <w:tr w:rsidR="00175422" w:rsidRPr="001E78C1" w14:paraId="508093E1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7D33557E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Costos</w:t>
            </w:r>
          </w:p>
        </w:tc>
        <w:tc>
          <w:tcPr>
            <w:tcW w:w="4680" w:type="dxa"/>
          </w:tcPr>
          <w:p w14:paraId="3563CB72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0.738</w:t>
            </w:r>
          </w:p>
        </w:tc>
      </w:tr>
      <w:tr w:rsidR="00175422" w:rsidRPr="001E78C1" w14:paraId="13782393" w14:textId="77777777" w:rsidTr="00175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6FB5F2CE" w14:textId="77777777" w:rsidR="00175422" w:rsidRPr="001E78C1" w:rsidRDefault="00175422" w:rsidP="001E78C1">
            <w:pPr>
              <w:spacing w:after="160"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Ingresos</w:t>
            </w:r>
          </w:p>
        </w:tc>
        <w:tc>
          <w:tcPr>
            <w:tcW w:w="4680" w:type="dxa"/>
          </w:tcPr>
          <w:p w14:paraId="3230C166" w14:textId="77777777" w:rsidR="00175422" w:rsidRPr="001E78C1" w:rsidRDefault="00175422" w:rsidP="001E78C1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E78C1">
              <w:rPr>
                <w:rFonts w:ascii="Arial" w:hAnsi="Arial" w:cs="Arial"/>
                <w:sz w:val="22"/>
                <w:szCs w:val="22"/>
                <w:lang w:val="en-US"/>
              </w:rPr>
              <w:t>0.715</w:t>
            </w:r>
          </w:p>
        </w:tc>
      </w:tr>
    </w:tbl>
    <w:p w14:paraId="33CAF04F" w14:textId="77777777" w:rsidR="001E78C1" w:rsidRDefault="001E78C1" w:rsidP="001E78C1">
      <w:pPr>
        <w:spacing w:line="480" w:lineRule="auto"/>
        <w:rPr>
          <w:rFonts w:ascii="Arial" w:hAnsi="Arial" w:cs="Arial"/>
          <w:sz w:val="22"/>
          <w:szCs w:val="22"/>
        </w:rPr>
      </w:pPr>
    </w:p>
    <w:p w14:paraId="02F976C1" w14:textId="46332979" w:rsidR="00175422" w:rsidRPr="001E78C1" w:rsidRDefault="00175422" w:rsidP="00234FCC">
      <w:pPr>
        <w:spacing w:line="480" w:lineRule="auto"/>
        <w:ind w:firstLine="708"/>
        <w:rPr>
          <w:rFonts w:ascii="Arial" w:hAnsi="Arial" w:cs="Arial"/>
          <w:sz w:val="22"/>
          <w:szCs w:val="22"/>
        </w:rPr>
      </w:pPr>
      <w:r w:rsidRPr="001E78C1">
        <w:rPr>
          <w:rFonts w:ascii="Arial" w:hAnsi="Arial" w:cs="Arial"/>
          <w:sz w:val="22"/>
          <w:szCs w:val="22"/>
        </w:rPr>
        <w:t>El coeficiente Alfa de Cronbach global supera el umbral de 0.70, lo que indica adecuada consistencia interna del instrumento (Cronbach, 1951).</w:t>
      </w:r>
    </w:p>
    <w:p w14:paraId="374D6E01" w14:textId="77777777" w:rsidR="00175422" w:rsidRPr="001E78C1" w:rsidRDefault="00175422" w:rsidP="001E78C1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1E78C1">
        <w:rPr>
          <w:rFonts w:ascii="Arial" w:hAnsi="Arial" w:cs="Arial"/>
          <w:b/>
          <w:bCs/>
          <w:sz w:val="22"/>
          <w:szCs w:val="22"/>
        </w:rPr>
        <w:t>2. Conclusiones derivadas del estudio</w:t>
      </w:r>
    </w:p>
    <w:p w14:paraId="3081F66E" w14:textId="77777777" w:rsidR="00175422" w:rsidRPr="001E78C1" w:rsidRDefault="00175422" w:rsidP="00234FCC">
      <w:pPr>
        <w:spacing w:line="480" w:lineRule="auto"/>
        <w:ind w:firstLine="708"/>
        <w:rPr>
          <w:rFonts w:ascii="Arial" w:hAnsi="Arial" w:cs="Arial"/>
          <w:sz w:val="22"/>
          <w:szCs w:val="22"/>
        </w:rPr>
      </w:pPr>
      <w:r w:rsidRPr="001E78C1">
        <w:rPr>
          <w:rFonts w:ascii="Arial" w:hAnsi="Arial" w:cs="Arial"/>
          <w:sz w:val="22"/>
          <w:szCs w:val="22"/>
        </w:rPr>
        <w:t>Los resultados permiten concluir que la organización cuenta con una base sólida en términos de Arquitectura de Negocio, evidenciada en procesos formales y alineación estratégica. No obstante, se identifican brechas relevantes en la Arquitectura de Datos y Tecnológica, principalmente asociadas a integración de información y automatización.</w:t>
      </w:r>
    </w:p>
    <w:p w14:paraId="04D7B12E" w14:textId="77777777" w:rsidR="00175422" w:rsidRPr="001E78C1" w:rsidRDefault="00175422" w:rsidP="00234FCC">
      <w:pPr>
        <w:spacing w:line="480" w:lineRule="auto"/>
        <w:ind w:firstLine="708"/>
        <w:rPr>
          <w:rFonts w:ascii="Arial" w:hAnsi="Arial" w:cs="Arial"/>
          <w:sz w:val="22"/>
          <w:szCs w:val="22"/>
        </w:rPr>
      </w:pPr>
      <w:r w:rsidRPr="001E78C1">
        <w:rPr>
          <w:rFonts w:ascii="Arial" w:hAnsi="Arial" w:cs="Arial"/>
          <w:sz w:val="22"/>
          <w:szCs w:val="22"/>
        </w:rPr>
        <w:t>Desde la perspectiva del marco TOGAF (</w:t>
      </w:r>
      <w:proofErr w:type="spellStart"/>
      <w:r w:rsidRPr="001E78C1">
        <w:rPr>
          <w:rFonts w:ascii="Arial" w:hAnsi="Arial" w:cs="Arial"/>
          <w:sz w:val="22"/>
          <w:szCs w:val="22"/>
        </w:rPr>
        <w:t>The</w:t>
      </w:r>
      <w:proofErr w:type="spellEnd"/>
      <w:r w:rsidRPr="001E78C1">
        <w:rPr>
          <w:rFonts w:ascii="Arial" w:hAnsi="Arial" w:cs="Arial"/>
          <w:sz w:val="22"/>
          <w:szCs w:val="22"/>
        </w:rPr>
        <w:t xml:space="preserve"> Open </w:t>
      </w:r>
      <w:proofErr w:type="spellStart"/>
      <w:r w:rsidRPr="001E78C1">
        <w:rPr>
          <w:rFonts w:ascii="Arial" w:hAnsi="Arial" w:cs="Arial"/>
          <w:sz w:val="22"/>
          <w:szCs w:val="22"/>
        </w:rPr>
        <w:t>Group</w:t>
      </w:r>
      <w:proofErr w:type="spellEnd"/>
      <w:r w:rsidRPr="001E78C1">
        <w:rPr>
          <w:rFonts w:ascii="Arial" w:hAnsi="Arial" w:cs="Arial"/>
          <w:sz w:val="22"/>
          <w:szCs w:val="22"/>
        </w:rPr>
        <w:t>, 2018), los hallazgos justifican intervenciones prioritarias en las fases de Arquitectura de Datos y Arquitectura Tecnológica del ciclo ADM, con el fin de garantizar coherencia entre estrategia, procesos y capacidades analíticas.</w:t>
      </w:r>
    </w:p>
    <w:p w14:paraId="61B4F5AB" w14:textId="77777777" w:rsidR="00175422" w:rsidRPr="001E78C1" w:rsidRDefault="00175422" w:rsidP="00234FCC">
      <w:pPr>
        <w:spacing w:line="480" w:lineRule="auto"/>
        <w:ind w:firstLine="708"/>
        <w:rPr>
          <w:rFonts w:ascii="Arial" w:hAnsi="Arial" w:cs="Arial"/>
          <w:sz w:val="22"/>
          <w:szCs w:val="22"/>
        </w:rPr>
      </w:pPr>
      <w:r w:rsidRPr="001E78C1">
        <w:rPr>
          <w:rFonts w:ascii="Arial" w:hAnsi="Arial" w:cs="Arial"/>
          <w:sz w:val="22"/>
          <w:szCs w:val="22"/>
        </w:rPr>
        <w:t xml:space="preserve">El análisis cualitativo complementa la evidencia estadística al identificar necesidades de gobierno de datos, estandarización de definiciones, integración de sistemas y fortalecimiento de capacidades analíticas. Estas conclusiones son coherentes </w:t>
      </w:r>
      <w:r w:rsidRPr="001E78C1">
        <w:rPr>
          <w:rFonts w:ascii="Arial" w:hAnsi="Arial" w:cs="Arial"/>
          <w:sz w:val="22"/>
          <w:szCs w:val="22"/>
        </w:rPr>
        <w:lastRenderedPageBreak/>
        <w:t>con la literatura sobre transformación digital en la función financiera (Bhimani &amp; Willcocks, 2014; Ross et al., 2006).</w:t>
      </w:r>
    </w:p>
    <w:p w14:paraId="764197A8" w14:textId="77777777" w:rsidR="00175422" w:rsidRPr="001E78C1" w:rsidRDefault="00175422" w:rsidP="00234FCC">
      <w:pPr>
        <w:spacing w:line="480" w:lineRule="auto"/>
        <w:ind w:firstLine="708"/>
        <w:rPr>
          <w:rFonts w:ascii="Arial" w:hAnsi="Arial" w:cs="Arial"/>
          <w:sz w:val="22"/>
          <w:szCs w:val="22"/>
        </w:rPr>
      </w:pPr>
      <w:r w:rsidRPr="001E78C1">
        <w:rPr>
          <w:rFonts w:ascii="Arial" w:hAnsi="Arial" w:cs="Arial"/>
          <w:sz w:val="22"/>
          <w:szCs w:val="22"/>
        </w:rPr>
        <w:t>En síntesis, la optimización de costos y el aseguramiento de ingresos no dependen exclusivamente de mejoras procedimentales, sino de una evolución integral de la arquitectura empresarial, articulando negocio, datos, aplicaciones y tecnología.</w:t>
      </w:r>
    </w:p>
    <w:p w14:paraId="4A380A79" w14:textId="77777777" w:rsidR="00175422" w:rsidRPr="001E78C1" w:rsidRDefault="00175422" w:rsidP="001E78C1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1E78C1">
        <w:rPr>
          <w:rFonts w:ascii="Arial" w:hAnsi="Arial" w:cs="Arial"/>
          <w:b/>
          <w:bCs/>
          <w:sz w:val="22"/>
          <w:szCs w:val="22"/>
          <w:lang w:val="en-US"/>
        </w:rPr>
        <w:t>Referencias</w:t>
      </w:r>
      <w:proofErr w:type="spellEnd"/>
    </w:p>
    <w:p w14:paraId="57C7D724" w14:textId="77777777" w:rsidR="00234FCC" w:rsidRDefault="00175422" w:rsidP="00234FCC">
      <w:pPr>
        <w:pStyle w:val="Referencia"/>
        <w:rPr>
          <w:rFonts w:ascii="Arial" w:hAnsi="Arial" w:cs="Arial"/>
        </w:rPr>
      </w:pPr>
      <w:r w:rsidRPr="00234FCC">
        <w:rPr>
          <w:rFonts w:ascii="Arial" w:hAnsi="Arial" w:cs="Arial"/>
        </w:rPr>
        <w:t xml:space="preserve">Bhimani, A., &amp; Willcocks, L. (2014). </w:t>
      </w:r>
      <w:proofErr w:type="spellStart"/>
      <w:proofErr w:type="gramStart"/>
      <w:r w:rsidRPr="00234FCC">
        <w:rPr>
          <w:rFonts w:ascii="Arial" w:hAnsi="Arial" w:cs="Arial"/>
        </w:rPr>
        <w:t>Digitisation</w:t>
      </w:r>
      <w:proofErr w:type="spellEnd"/>
      <w:r w:rsidRPr="00234FCC">
        <w:rPr>
          <w:rFonts w:ascii="Arial" w:hAnsi="Arial" w:cs="Arial"/>
        </w:rPr>
        <w:t>, ‘</w:t>
      </w:r>
      <w:proofErr w:type="gramEnd"/>
      <w:r w:rsidRPr="00234FCC">
        <w:rPr>
          <w:rFonts w:ascii="Arial" w:hAnsi="Arial" w:cs="Arial"/>
        </w:rPr>
        <w:t xml:space="preserve">Big Data’ and the transformation of accounting information. Accounting and Business </w:t>
      </w:r>
      <w:proofErr w:type="spellStart"/>
      <w:r w:rsidRPr="00234FCC">
        <w:rPr>
          <w:rFonts w:ascii="Arial" w:hAnsi="Arial" w:cs="Arial"/>
        </w:rPr>
        <w:t>Research</w:t>
      </w:r>
      <w:proofErr w:type="spellEnd"/>
      <w:r w:rsidRPr="00234FCC">
        <w:rPr>
          <w:rFonts w:ascii="Arial" w:hAnsi="Arial" w:cs="Arial"/>
        </w:rPr>
        <w:t>, 44(4), 469–490.</w:t>
      </w:r>
    </w:p>
    <w:p w14:paraId="03B812BA" w14:textId="77777777" w:rsidR="00234FCC" w:rsidRDefault="00175422" w:rsidP="00234FCC">
      <w:pPr>
        <w:pStyle w:val="Referencia"/>
        <w:rPr>
          <w:rFonts w:ascii="Arial" w:hAnsi="Arial" w:cs="Arial"/>
        </w:rPr>
      </w:pPr>
      <w:r w:rsidRPr="00234FCC">
        <w:rPr>
          <w:rFonts w:ascii="Arial" w:hAnsi="Arial" w:cs="Arial"/>
          <w:lang w:val="en-US"/>
        </w:rPr>
        <w:t xml:space="preserve">Cronbach, L. J. (1951). Coefficient alpha and the internal structure of tests. </w:t>
      </w:r>
      <w:proofErr w:type="spellStart"/>
      <w:r w:rsidRPr="00234FCC">
        <w:rPr>
          <w:rFonts w:ascii="Arial" w:hAnsi="Arial" w:cs="Arial"/>
        </w:rPr>
        <w:t>Psychometrika</w:t>
      </w:r>
      <w:proofErr w:type="spellEnd"/>
      <w:r w:rsidRPr="00234FCC">
        <w:rPr>
          <w:rFonts w:ascii="Arial" w:hAnsi="Arial" w:cs="Arial"/>
        </w:rPr>
        <w:t>, 16(3), 297–334.</w:t>
      </w:r>
    </w:p>
    <w:p w14:paraId="3E83F85A" w14:textId="77777777" w:rsidR="00234FCC" w:rsidRDefault="00175422" w:rsidP="00234FCC">
      <w:pPr>
        <w:pStyle w:val="Referencia"/>
        <w:rPr>
          <w:rFonts w:ascii="Arial" w:hAnsi="Arial" w:cs="Arial"/>
        </w:rPr>
      </w:pPr>
      <w:r w:rsidRPr="00234FCC">
        <w:rPr>
          <w:rFonts w:ascii="Arial" w:hAnsi="Arial" w:cs="Arial"/>
        </w:rPr>
        <w:t xml:space="preserve">Hernández-Sampieri, R., Fernández-Collado, C., &amp; Baptista-Lucio, P. (2018). Metodología de la investigación (6ª ed.). McGraw-Hill </w:t>
      </w:r>
      <w:proofErr w:type="spellStart"/>
      <w:r w:rsidRPr="00234FCC">
        <w:rPr>
          <w:rFonts w:ascii="Arial" w:hAnsi="Arial" w:cs="Arial"/>
        </w:rPr>
        <w:t>Education</w:t>
      </w:r>
      <w:proofErr w:type="spellEnd"/>
      <w:r w:rsidRPr="00234FCC">
        <w:rPr>
          <w:rFonts w:ascii="Arial" w:hAnsi="Arial" w:cs="Arial"/>
        </w:rPr>
        <w:t>.</w:t>
      </w:r>
    </w:p>
    <w:p w14:paraId="3EC75265" w14:textId="77777777" w:rsidR="00234FCC" w:rsidRDefault="00175422" w:rsidP="00234FCC">
      <w:pPr>
        <w:pStyle w:val="Referencia"/>
        <w:rPr>
          <w:rFonts w:ascii="Arial" w:hAnsi="Arial" w:cs="Arial"/>
          <w:lang w:val="en-US"/>
        </w:rPr>
      </w:pPr>
      <w:r w:rsidRPr="00234FCC">
        <w:rPr>
          <w:rFonts w:ascii="Arial" w:hAnsi="Arial" w:cs="Arial"/>
          <w:lang w:val="en-US"/>
        </w:rPr>
        <w:t>Likert, R. (1932). A technique for the measurement of attitudes. Archives of Psychology, 140, 1–55</w:t>
      </w:r>
    </w:p>
    <w:p w14:paraId="19ECB909" w14:textId="77777777" w:rsidR="00234FCC" w:rsidRDefault="00175422" w:rsidP="00234FCC">
      <w:pPr>
        <w:pStyle w:val="Referencia"/>
        <w:rPr>
          <w:rFonts w:ascii="Arial" w:hAnsi="Arial" w:cs="Arial"/>
          <w:lang w:val="en-US"/>
        </w:rPr>
      </w:pPr>
      <w:r w:rsidRPr="001E78C1">
        <w:rPr>
          <w:rFonts w:ascii="Arial" w:hAnsi="Arial" w:cs="Arial"/>
          <w:lang w:val="en-US"/>
        </w:rPr>
        <w:t>Ross, J. W., Weill, P., &amp; Robertson, D. (2006). Enterprise architecture as strategy. Harvard Business School Press.</w:t>
      </w:r>
    </w:p>
    <w:p w14:paraId="132E30AA" w14:textId="3DE51F40" w:rsidR="00175422" w:rsidRPr="001E78C1" w:rsidRDefault="00175422" w:rsidP="00234FCC">
      <w:pPr>
        <w:pStyle w:val="Referencia"/>
        <w:rPr>
          <w:rFonts w:ascii="Arial" w:hAnsi="Arial" w:cs="Arial"/>
        </w:rPr>
      </w:pPr>
      <w:r w:rsidRPr="001E78C1">
        <w:rPr>
          <w:rFonts w:ascii="Arial" w:hAnsi="Arial" w:cs="Arial"/>
          <w:lang w:val="en-US"/>
        </w:rPr>
        <w:t xml:space="preserve">The Open Group. (2018). TOGAF® standard, version 9.2. </w:t>
      </w:r>
      <w:r w:rsidRPr="001E78C1">
        <w:rPr>
          <w:rFonts w:ascii="Arial" w:hAnsi="Arial" w:cs="Arial"/>
        </w:rPr>
        <w:t>The Open Group.</w:t>
      </w:r>
      <w:r w:rsidRPr="001E78C1">
        <w:rPr>
          <w:rFonts w:ascii="Arial" w:hAnsi="Arial" w:cs="Arial"/>
        </w:rPr>
        <w:tab/>
      </w:r>
    </w:p>
    <w:p w14:paraId="2604F2B5" w14:textId="77777777" w:rsidR="00175422" w:rsidRPr="001E78C1" w:rsidRDefault="00175422" w:rsidP="001E78C1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175422" w:rsidRPr="001E78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723"/>
    <w:multiLevelType w:val="multilevel"/>
    <w:tmpl w:val="AE7E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62892"/>
    <w:multiLevelType w:val="hybridMultilevel"/>
    <w:tmpl w:val="351A72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61E3A"/>
    <w:multiLevelType w:val="multilevel"/>
    <w:tmpl w:val="B39E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15DCA"/>
    <w:multiLevelType w:val="hybridMultilevel"/>
    <w:tmpl w:val="B588C2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60C20"/>
    <w:multiLevelType w:val="multilevel"/>
    <w:tmpl w:val="CB52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B83AF0"/>
    <w:multiLevelType w:val="multilevel"/>
    <w:tmpl w:val="AFB8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B234F"/>
    <w:multiLevelType w:val="multilevel"/>
    <w:tmpl w:val="73C0E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AB2AF5"/>
    <w:multiLevelType w:val="multilevel"/>
    <w:tmpl w:val="4572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912306"/>
    <w:multiLevelType w:val="multilevel"/>
    <w:tmpl w:val="9B08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8953093">
    <w:abstractNumId w:val="0"/>
  </w:num>
  <w:num w:numId="2" w16cid:durableId="1771002373">
    <w:abstractNumId w:val="5"/>
  </w:num>
  <w:num w:numId="3" w16cid:durableId="1737164315">
    <w:abstractNumId w:val="4"/>
  </w:num>
  <w:num w:numId="4" w16cid:durableId="1810979200">
    <w:abstractNumId w:val="7"/>
  </w:num>
  <w:num w:numId="5" w16cid:durableId="542986274">
    <w:abstractNumId w:val="6"/>
  </w:num>
  <w:num w:numId="6" w16cid:durableId="858932716">
    <w:abstractNumId w:val="8"/>
  </w:num>
  <w:num w:numId="7" w16cid:durableId="918170327">
    <w:abstractNumId w:val="2"/>
  </w:num>
  <w:num w:numId="8" w16cid:durableId="1876382803">
    <w:abstractNumId w:val="3"/>
  </w:num>
  <w:num w:numId="9" w16cid:durableId="62681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422"/>
    <w:rsid w:val="00175422"/>
    <w:rsid w:val="001E78C1"/>
    <w:rsid w:val="00234FCC"/>
    <w:rsid w:val="00865D46"/>
    <w:rsid w:val="0096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7278"/>
  <w15:chartTrackingRefBased/>
  <w15:docId w15:val="{246C5BA9-F18D-43D9-A372-DCE12441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5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5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75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5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5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5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5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5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5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5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75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75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54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542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54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54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54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54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5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5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5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5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5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54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54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54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5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542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542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7542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75422"/>
    <w:rPr>
      <w:color w:val="605E5C"/>
      <w:shd w:val="clear" w:color="auto" w:fill="E1DFDD"/>
    </w:rPr>
  </w:style>
  <w:style w:type="table" w:styleId="Tablaconcuadrcula1clara">
    <w:name w:val="Grid Table 1 Light"/>
    <w:basedOn w:val="Tablanormal"/>
    <w:uiPriority w:val="46"/>
    <w:rsid w:val="001754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Referencia">
    <w:name w:val="Referencia"/>
    <w:basedOn w:val="Normal"/>
    <w:qFormat/>
    <w:rsid w:val="00234FCC"/>
    <w:pPr>
      <w:spacing w:before="120" w:line="480" w:lineRule="auto"/>
      <w:ind w:left="720" w:hanging="720"/>
      <w:contextualSpacing/>
    </w:pPr>
    <w:rPr>
      <w:rFonts w:eastAsia="Times New Roman" w:cstheme="minorHAns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644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CAROLINA SUAREZ CORTES</dc:creator>
  <cp:keywords/>
  <dc:description/>
  <cp:lastModifiedBy>Rodriguez,Alexandra (HP MA) BI-CO-B</cp:lastModifiedBy>
  <cp:revision>2</cp:revision>
  <dcterms:created xsi:type="dcterms:W3CDTF">2026-02-18T16:52:00Z</dcterms:created>
  <dcterms:modified xsi:type="dcterms:W3CDTF">2026-02-18T16:52:00Z</dcterms:modified>
</cp:coreProperties>
</file>