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19094" w14:textId="3E38C9BD" w:rsidR="00175422" w:rsidRPr="001E78C1" w:rsidRDefault="00175422" w:rsidP="001E78C1">
      <w:pPr>
        <w:spacing w:line="48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1E78C1">
        <w:rPr>
          <w:rFonts w:ascii="Arial" w:hAnsi="Arial" w:cs="Arial"/>
          <w:b/>
          <w:bCs/>
          <w:sz w:val="22"/>
          <w:szCs w:val="22"/>
        </w:rPr>
        <w:t>Anexo</w:t>
      </w:r>
      <w:r w:rsidR="001E78C1" w:rsidRPr="001E78C1">
        <w:rPr>
          <w:rFonts w:ascii="Arial" w:hAnsi="Arial" w:cs="Arial"/>
          <w:b/>
          <w:bCs/>
          <w:sz w:val="22"/>
          <w:szCs w:val="22"/>
        </w:rPr>
        <w:t xml:space="preserve"> 4. A</w:t>
      </w:r>
      <w:r w:rsidRPr="001E78C1">
        <w:rPr>
          <w:rFonts w:ascii="Arial" w:hAnsi="Arial" w:cs="Arial"/>
          <w:b/>
          <w:bCs/>
          <w:sz w:val="22"/>
          <w:szCs w:val="22"/>
        </w:rPr>
        <w:t>nálisis Estadístico y Conclusiones del Estudio Empírico</w:t>
      </w:r>
    </w:p>
    <w:p w14:paraId="30B46445" w14:textId="77777777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1E78C1">
        <w:rPr>
          <w:rFonts w:ascii="Arial" w:hAnsi="Arial" w:cs="Arial"/>
          <w:b/>
          <w:bCs/>
          <w:sz w:val="22"/>
          <w:szCs w:val="22"/>
        </w:rPr>
        <w:t>1. Análisis estadístico descriptivo del instrumento aplicado</w:t>
      </w:r>
    </w:p>
    <w:p w14:paraId="13777121" w14:textId="77777777" w:rsidR="00175422" w:rsidRPr="001E78C1" w:rsidRDefault="00175422" w:rsidP="001E78C1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El análisis estadístico se realizó mediante estadística descriptiva, incluyendo media aritmética, desviación estándar y análisis porcentual por categorías de respuesta. Dado que el instrumento fue estructurado bajo escala tipo Likert de cinco puntos, los resultados permiten interpretar niveles de percepción organizacional respecto a la planeación financiera y su soporte tecnológico (Likert, 1932; Hernández-Sampieri et al., 2018).</w:t>
      </w:r>
    </w:p>
    <w:p w14:paraId="683BAC18" w14:textId="77777777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  <w:lang w:val="en-US"/>
        </w:rPr>
      </w:pPr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1.1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Resultados</w:t>
      </w:r>
      <w:proofErr w:type="spellEnd"/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por</w:t>
      </w:r>
      <w:proofErr w:type="spellEnd"/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dimensión</w:t>
      </w:r>
      <w:proofErr w:type="spellEnd"/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1792"/>
        <w:gridCol w:w="1666"/>
        <w:gridCol w:w="1715"/>
        <w:gridCol w:w="1789"/>
        <w:gridCol w:w="1866"/>
      </w:tblGrid>
      <w:tr w:rsidR="00175422" w:rsidRPr="001E78C1" w14:paraId="089758BE" w14:textId="77777777" w:rsidTr="001754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5445FBE5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Dimension</w:t>
            </w:r>
          </w:p>
        </w:tc>
        <w:tc>
          <w:tcPr>
            <w:tcW w:w="1872" w:type="dxa"/>
          </w:tcPr>
          <w:p w14:paraId="1BDD5E9B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Media</w:t>
            </w:r>
          </w:p>
        </w:tc>
        <w:tc>
          <w:tcPr>
            <w:tcW w:w="1872" w:type="dxa"/>
          </w:tcPr>
          <w:p w14:paraId="16830EB1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DesvEst</w:t>
            </w:r>
            <w:proofErr w:type="spellEnd"/>
          </w:p>
        </w:tc>
        <w:tc>
          <w:tcPr>
            <w:tcW w:w="1872" w:type="dxa"/>
          </w:tcPr>
          <w:p w14:paraId="3CD7607C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Top2Box_% (&gt;=4.0)</w:t>
            </w:r>
          </w:p>
        </w:tc>
        <w:tc>
          <w:tcPr>
            <w:tcW w:w="1872" w:type="dxa"/>
          </w:tcPr>
          <w:p w14:paraId="2D9D5A20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Bottom2Box_% (&lt;3.0)</w:t>
            </w:r>
          </w:p>
        </w:tc>
      </w:tr>
      <w:tr w:rsidR="00175422" w:rsidRPr="001E78C1" w14:paraId="6ADF057D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31341FB4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Planeación</w:t>
            </w:r>
            <w:proofErr w:type="spellEnd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financiera</w:t>
            </w:r>
            <w:proofErr w:type="spellEnd"/>
          </w:p>
        </w:tc>
        <w:tc>
          <w:tcPr>
            <w:tcW w:w="1872" w:type="dxa"/>
          </w:tcPr>
          <w:p w14:paraId="37B11C73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3.67</w:t>
            </w:r>
          </w:p>
        </w:tc>
        <w:tc>
          <w:tcPr>
            <w:tcW w:w="1872" w:type="dxa"/>
          </w:tcPr>
          <w:p w14:paraId="209D3C6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0.95</w:t>
            </w:r>
          </w:p>
        </w:tc>
        <w:tc>
          <w:tcPr>
            <w:tcW w:w="1872" w:type="dxa"/>
          </w:tcPr>
          <w:p w14:paraId="4B21E51F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53.33</w:t>
            </w:r>
          </w:p>
        </w:tc>
        <w:tc>
          <w:tcPr>
            <w:tcW w:w="1872" w:type="dxa"/>
          </w:tcPr>
          <w:p w14:paraId="6E5FC394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16.67</w:t>
            </w:r>
          </w:p>
        </w:tc>
      </w:tr>
      <w:tr w:rsidR="00175422" w:rsidRPr="001E78C1" w14:paraId="56077682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08E28F04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Tecnología</w:t>
            </w:r>
          </w:p>
        </w:tc>
        <w:tc>
          <w:tcPr>
            <w:tcW w:w="1872" w:type="dxa"/>
          </w:tcPr>
          <w:p w14:paraId="769530A4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3.07</w:t>
            </w:r>
          </w:p>
        </w:tc>
        <w:tc>
          <w:tcPr>
            <w:tcW w:w="1872" w:type="dxa"/>
          </w:tcPr>
          <w:p w14:paraId="5477F984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1.0</w:t>
            </w:r>
          </w:p>
        </w:tc>
        <w:tc>
          <w:tcPr>
            <w:tcW w:w="1872" w:type="dxa"/>
          </w:tcPr>
          <w:p w14:paraId="19AC1333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23.33</w:t>
            </w:r>
          </w:p>
        </w:tc>
        <w:tc>
          <w:tcPr>
            <w:tcW w:w="1872" w:type="dxa"/>
          </w:tcPr>
          <w:p w14:paraId="7969419F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40.0</w:t>
            </w:r>
          </w:p>
        </w:tc>
      </w:tr>
      <w:tr w:rsidR="00175422" w:rsidRPr="001E78C1" w14:paraId="7F0E8EB3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775A3BE7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Información</w:t>
            </w:r>
            <w:proofErr w:type="spellEnd"/>
          </w:p>
        </w:tc>
        <w:tc>
          <w:tcPr>
            <w:tcW w:w="1872" w:type="dxa"/>
          </w:tcPr>
          <w:p w14:paraId="5BB9159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2.83</w:t>
            </w:r>
          </w:p>
        </w:tc>
        <w:tc>
          <w:tcPr>
            <w:tcW w:w="1872" w:type="dxa"/>
          </w:tcPr>
          <w:p w14:paraId="667E0151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1.05</w:t>
            </w:r>
          </w:p>
        </w:tc>
        <w:tc>
          <w:tcPr>
            <w:tcW w:w="1872" w:type="dxa"/>
          </w:tcPr>
          <w:p w14:paraId="0B057ADD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16.67</w:t>
            </w:r>
          </w:p>
        </w:tc>
        <w:tc>
          <w:tcPr>
            <w:tcW w:w="1872" w:type="dxa"/>
          </w:tcPr>
          <w:p w14:paraId="6C471C1E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53.33</w:t>
            </w:r>
          </w:p>
        </w:tc>
      </w:tr>
      <w:tr w:rsidR="00175422" w:rsidRPr="001E78C1" w14:paraId="6DFD8AD1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6C856721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Costos</w:t>
            </w:r>
          </w:p>
        </w:tc>
        <w:tc>
          <w:tcPr>
            <w:tcW w:w="1872" w:type="dxa"/>
          </w:tcPr>
          <w:p w14:paraId="54D251CD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3.27</w:t>
            </w:r>
          </w:p>
        </w:tc>
        <w:tc>
          <w:tcPr>
            <w:tcW w:w="1872" w:type="dxa"/>
          </w:tcPr>
          <w:p w14:paraId="23990635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1.06</w:t>
            </w:r>
          </w:p>
        </w:tc>
        <w:tc>
          <w:tcPr>
            <w:tcW w:w="1872" w:type="dxa"/>
          </w:tcPr>
          <w:p w14:paraId="408FE5D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36.67</w:t>
            </w:r>
          </w:p>
        </w:tc>
        <w:tc>
          <w:tcPr>
            <w:tcW w:w="1872" w:type="dxa"/>
          </w:tcPr>
          <w:p w14:paraId="6B7120A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26.67</w:t>
            </w:r>
          </w:p>
        </w:tc>
      </w:tr>
      <w:tr w:rsidR="00175422" w:rsidRPr="001E78C1" w14:paraId="1578D1D9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2" w:type="dxa"/>
          </w:tcPr>
          <w:p w14:paraId="32C354F6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Ingresos</w:t>
            </w:r>
          </w:p>
        </w:tc>
        <w:tc>
          <w:tcPr>
            <w:tcW w:w="1872" w:type="dxa"/>
          </w:tcPr>
          <w:p w14:paraId="0A9F1D8A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3.17</w:t>
            </w:r>
          </w:p>
        </w:tc>
        <w:tc>
          <w:tcPr>
            <w:tcW w:w="1872" w:type="dxa"/>
          </w:tcPr>
          <w:p w14:paraId="153CE524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0.95</w:t>
            </w:r>
          </w:p>
        </w:tc>
        <w:tc>
          <w:tcPr>
            <w:tcW w:w="1872" w:type="dxa"/>
          </w:tcPr>
          <w:p w14:paraId="5C2F5DC8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26.67</w:t>
            </w:r>
          </w:p>
        </w:tc>
        <w:tc>
          <w:tcPr>
            <w:tcW w:w="1872" w:type="dxa"/>
          </w:tcPr>
          <w:p w14:paraId="202DBB58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33.33</w:t>
            </w:r>
          </w:p>
        </w:tc>
      </w:tr>
    </w:tbl>
    <w:p w14:paraId="2739486A" w14:textId="77777777" w:rsidR="001E78C1" w:rsidRDefault="001E78C1" w:rsidP="001E78C1">
      <w:pPr>
        <w:spacing w:line="480" w:lineRule="auto"/>
        <w:rPr>
          <w:rFonts w:ascii="Arial" w:hAnsi="Arial" w:cs="Arial"/>
          <w:sz w:val="22"/>
          <w:szCs w:val="22"/>
        </w:rPr>
      </w:pPr>
    </w:p>
    <w:p w14:paraId="5717321F" w14:textId="0B71C904" w:rsidR="00175422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La dimensión Planeación financiera presenta la mayor valoración promedio, seguida de Costos e Ingresos. Las dimensiones Tecnología e Información evidencian menores niveles de valoración, lo que sugiere oportunidades de fortalecimiento en integración de datos y automatización.</w:t>
      </w:r>
    </w:p>
    <w:p w14:paraId="16E9F4E8" w14:textId="77777777" w:rsidR="001E78C1" w:rsidRPr="001E78C1" w:rsidRDefault="001E78C1" w:rsidP="001E78C1">
      <w:pPr>
        <w:spacing w:line="480" w:lineRule="auto"/>
        <w:rPr>
          <w:rFonts w:ascii="Arial" w:hAnsi="Arial" w:cs="Arial"/>
          <w:sz w:val="22"/>
          <w:szCs w:val="22"/>
        </w:rPr>
      </w:pPr>
    </w:p>
    <w:p w14:paraId="2FEAA342" w14:textId="77777777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  <w:lang w:val="en-US"/>
        </w:rPr>
      </w:pPr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1.2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Resultados</w:t>
      </w:r>
      <w:proofErr w:type="spellEnd"/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por</w:t>
      </w:r>
      <w:proofErr w:type="spellEnd"/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pregunta</w:t>
      </w:r>
      <w:proofErr w:type="spellEnd"/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3823"/>
        <w:gridCol w:w="1480"/>
        <w:gridCol w:w="1653"/>
        <w:gridCol w:w="1872"/>
      </w:tblGrid>
      <w:tr w:rsidR="00175422" w:rsidRPr="001E78C1" w14:paraId="084D3760" w14:textId="77777777" w:rsidTr="001754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5785E634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Ítem</w:t>
            </w:r>
            <w:proofErr w:type="spellEnd"/>
          </w:p>
        </w:tc>
        <w:tc>
          <w:tcPr>
            <w:tcW w:w="2340" w:type="dxa"/>
          </w:tcPr>
          <w:p w14:paraId="46DD40D1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Media</w:t>
            </w:r>
          </w:p>
        </w:tc>
        <w:tc>
          <w:tcPr>
            <w:tcW w:w="2340" w:type="dxa"/>
          </w:tcPr>
          <w:p w14:paraId="310C694B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Top2Box (4-</w:t>
            </w:r>
            <w:proofErr w:type="gram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5)%</w:t>
            </w:r>
            <w:proofErr w:type="gramEnd"/>
          </w:p>
        </w:tc>
        <w:tc>
          <w:tcPr>
            <w:tcW w:w="2340" w:type="dxa"/>
          </w:tcPr>
          <w:p w14:paraId="44303425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Bottom2Box (1-</w:t>
            </w:r>
            <w:proofErr w:type="gram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2)%</w:t>
            </w:r>
            <w:proofErr w:type="gramEnd"/>
          </w:p>
        </w:tc>
      </w:tr>
      <w:tr w:rsidR="00175422" w:rsidRPr="001E78C1" w14:paraId="4E313605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15521FBD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P1_ProcesosFormales</w:t>
            </w:r>
          </w:p>
        </w:tc>
        <w:tc>
          <w:tcPr>
            <w:tcW w:w="2340" w:type="dxa"/>
          </w:tcPr>
          <w:p w14:paraId="0A98628A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3.67</w:t>
            </w:r>
          </w:p>
        </w:tc>
        <w:tc>
          <w:tcPr>
            <w:tcW w:w="2340" w:type="dxa"/>
          </w:tcPr>
          <w:p w14:paraId="1309098C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53.3</w:t>
            </w:r>
          </w:p>
        </w:tc>
        <w:tc>
          <w:tcPr>
            <w:tcW w:w="2340" w:type="dxa"/>
          </w:tcPr>
          <w:p w14:paraId="5CC0094A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13.3</w:t>
            </w:r>
          </w:p>
        </w:tc>
      </w:tr>
      <w:tr w:rsidR="00175422" w:rsidRPr="001E78C1" w14:paraId="02B598E7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50F24B5C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P2_AlineacionEstrategica</w:t>
            </w:r>
          </w:p>
        </w:tc>
        <w:tc>
          <w:tcPr>
            <w:tcW w:w="2340" w:type="dxa"/>
          </w:tcPr>
          <w:p w14:paraId="7A41F7B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3.67</w:t>
            </w:r>
          </w:p>
        </w:tc>
        <w:tc>
          <w:tcPr>
            <w:tcW w:w="2340" w:type="dxa"/>
          </w:tcPr>
          <w:p w14:paraId="4FC8110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60.0</w:t>
            </w:r>
          </w:p>
        </w:tc>
        <w:tc>
          <w:tcPr>
            <w:tcW w:w="2340" w:type="dxa"/>
          </w:tcPr>
          <w:p w14:paraId="4941F735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13.3</w:t>
            </w:r>
          </w:p>
        </w:tc>
      </w:tr>
      <w:tr w:rsidR="00175422" w:rsidRPr="001E78C1" w14:paraId="171EDDED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0BB797EF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P3_UsoHerramientas</w:t>
            </w:r>
          </w:p>
        </w:tc>
        <w:tc>
          <w:tcPr>
            <w:tcW w:w="2340" w:type="dxa"/>
          </w:tcPr>
          <w:p w14:paraId="1D4C6047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3.2</w:t>
            </w:r>
          </w:p>
        </w:tc>
        <w:tc>
          <w:tcPr>
            <w:tcW w:w="2340" w:type="dxa"/>
          </w:tcPr>
          <w:p w14:paraId="161653F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40.0</w:t>
            </w:r>
          </w:p>
        </w:tc>
        <w:tc>
          <w:tcPr>
            <w:tcW w:w="2340" w:type="dxa"/>
          </w:tcPr>
          <w:p w14:paraId="719FB63B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26.7</w:t>
            </w:r>
          </w:p>
        </w:tc>
      </w:tr>
      <w:tr w:rsidR="00175422" w:rsidRPr="001E78C1" w14:paraId="60B97BF1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163478EF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P4_Automatizacion</w:t>
            </w:r>
          </w:p>
        </w:tc>
        <w:tc>
          <w:tcPr>
            <w:tcW w:w="2340" w:type="dxa"/>
          </w:tcPr>
          <w:p w14:paraId="76102643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2.93</w:t>
            </w:r>
          </w:p>
        </w:tc>
        <w:tc>
          <w:tcPr>
            <w:tcW w:w="2340" w:type="dxa"/>
          </w:tcPr>
          <w:p w14:paraId="6498D671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33.3</w:t>
            </w:r>
          </w:p>
        </w:tc>
        <w:tc>
          <w:tcPr>
            <w:tcW w:w="2340" w:type="dxa"/>
          </w:tcPr>
          <w:p w14:paraId="5667A1DD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36.7</w:t>
            </w:r>
          </w:p>
        </w:tc>
      </w:tr>
      <w:tr w:rsidR="00175422" w:rsidRPr="001E78C1" w14:paraId="132AAC1E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46D4B287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P5_ConfiabilidadOportunidad</w:t>
            </w:r>
          </w:p>
        </w:tc>
        <w:tc>
          <w:tcPr>
            <w:tcW w:w="2340" w:type="dxa"/>
          </w:tcPr>
          <w:p w14:paraId="68D1C70C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3.0</w:t>
            </w:r>
          </w:p>
        </w:tc>
        <w:tc>
          <w:tcPr>
            <w:tcW w:w="2340" w:type="dxa"/>
          </w:tcPr>
          <w:p w14:paraId="52CE07AD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33.3</w:t>
            </w:r>
          </w:p>
        </w:tc>
        <w:tc>
          <w:tcPr>
            <w:tcW w:w="2340" w:type="dxa"/>
          </w:tcPr>
          <w:p w14:paraId="45095C67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40.0</w:t>
            </w:r>
          </w:p>
        </w:tc>
      </w:tr>
      <w:tr w:rsidR="00175422" w:rsidRPr="001E78C1" w14:paraId="6D225898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6719C66D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P6_IntegracionFuentes</w:t>
            </w:r>
          </w:p>
        </w:tc>
        <w:tc>
          <w:tcPr>
            <w:tcW w:w="2340" w:type="dxa"/>
          </w:tcPr>
          <w:p w14:paraId="62DE2108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2.67</w:t>
            </w:r>
          </w:p>
        </w:tc>
        <w:tc>
          <w:tcPr>
            <w:tcW w:w="2340" w:type="dxa"/>
          </w:tcPr>
          <w:p w14:paraId="7EA61D2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23.3</w:t>
            </w:r>
          </w:p>
        </w:tc>
        <w:tc>
          <w:tcPr>
            <w:tcW w:w="2340" w:type="dxa"/>
          </w:tcPr>
          <w:p w14:paraId="45B9349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50.0</w:t>
            </w:r>
          </w:p>
        </w:tc>
      </w:tr>
      <w:tr w:rsidR="00175422" w:rsidRPr="001E78C1" w14:paraId="2A58E0E2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59ADA8B7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P7_OportunidadesOptCostos</w:t>
            </w:r>
          </w:p>
        </w:tc>
        <w:tc>
          <w:tcPr>
            <w:tcW w:w="2340" w:type="dxa"/>
          </w:tcPr>
          <w:p w14:paraId="762E6B17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3.3</w:t>
            </w:r>
          </w:p>
        </w:tc>
        <w:tc>
          <w:tcPr>
            <w:tcW w:w="2340" w:type="dxa"/>
          </w:tcPr>
          <w:p w14:paraId="6DCF3FCC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46.7</w:t>
            </w:r>
          </w:p>
        </w:tc>
        <w:tc>
          <w:tcPr>
            <w:tcW w:w="2340" w:type="dxa"/>
          </w:tcPr>
          <w:p w14:paraId="42CF6B6C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23.3</w:t>
            </w:r>
          </w:p>
        </w:tc>
      </w:tr>
      <w:tr w:rsidR="00175422" w:rsidRPr="001E78C1" w14:paraId="45A9AB93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2EB7FEFE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P8_SeguimientoCostos</w:t>
            </w:r>
          </w:p>
        </w:tc>
        <w:tc>
          <w:tcPr>
            <w:tcW w:w="2340" w:type="dxa"/>
          </w:tcPr>
          <w:p w14:paraId="63BE1549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3.23</w:t>
            </w:r>
          </w:p>
        </w:tc>
        <w:tc>
          <w:tcPr>
            <w:tcW w:w="2340" w:type="dxa"/>
          </w:tcPr>
          <w:p w14:paraId="0E438882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40.0</w:t>
            </w:r>
          </w:p>
        </w:tc>
        <w:tc>
          <w:tcPr>
            <w:tcW w:w="2340" w:type="dxa"/>
          </w:tcPr>
          <w:p w14:paraId="4FD8A7C9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26.7</w:t>
            </w:r>
          </w:p>
        </w:tc>
      </w:tr>
      <w:tr w:rsidR="00175422" w:rsidRPr="001E78C1" w14:paraId="4C6B2330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19281347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P9_ProyeccionControlIngresos</w:t>
            </w:r>
          </w:p>
        </w:tc>
        <w:tc>
          <w:tcPr>
            <w:tcW w:w="2340" w:type="dxa"/>
          </w:tcPr>
          <w:p w14:paraId="31783B59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3.3</w:t>
            </w:r>
          </w:p>
        </w:tc>
        <w:tc>
          <w:tcPr>
            <w:tcW w:w="2340" w:type="dxa"/>
          </w:tcPr>
          <w:p w14:paraId="6C8993C8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50.0</w:t>
            </w:r>
          </w:p>
        </w:tc>
        <w:tc>
          <w:tcPr>
            <w:tcW w:w="2340" w:type="dxa"/>
          </w:tcPr>
          <w:p w14:paraId="74F7405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23.3</w:t>
            </w:r>
          </w:p>
        </w:tc>
      </w:tr>
      <w:tr w:rsidR="00175422" w:rsidRPr="001E78C1" w14:paraId="617780E2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0" w:type="dxa"/>
          </w:tcPr>
          <w:p w14:paraId="4531D875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P10_AnticipacionRiesgosIngresos</w:t>
            </w:r>
          </w:p>
        </w:tc>
        <w:tc>
          <w:tcPr>
            <w:tcW w:w="2340" w:type="dxa"/>
          </w:tcPr>
          <w:p w14:paraId="2449C930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3.03</w:t>
            </w:r>
          </w:p>
        </w:tc>
        <w:tc>
          <w:tcPr>
            <w:tcW w:w="2340" w:type="dxa"/>
          </w:tcPr>
          <w:p w14:paraId="3DB7F142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33.3</w:t>
            </w:r>
          </w:p>
        </w:tc>
        <w:tc>
          <w:tcPr>
            <w:tcW w:w="2340" w:type="dxa"/>
          </w:tcPr>
          <w:p w14:paraId="54AF3B01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26.7</w:t>
            </w:r>
          </w:p>
        </w:tc>
      </w:tr>
    </w:tbl>
    <w:p w14:paraId="49907707" w14:textId="77777777" w:rsidR="001E78C1" w:rsidRDefault="001E78C1" w:rsidP="001E78C1">
      <w:pPr>
        <w:spacing w:line="480" w:lineRule="auto"/>
        <w:rPr>
          <w:rFonts w:ascii="Arial" w:hAnsi="Arial" w:cs="Arial"/>
          <w:sz w:val="22"/>
          <w:szCs w:val="22"/>
        </w:rPr>
      </w:pPr>
    </w:p>
    <w:p w14:paraId="4098510B" w14:textId="28651983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El ítem con menor valoración corresponde a la integración de fuentes de información, mientras que los procesos formales y la alineación estratégica presentan los niveles más altos de acuerdo. Estos resultados evidencian una madurez estructural en la planeación, pero una brecha en la arquitectura de datos y soporte tecnológico.</w:t>
      </w:r>
    </w:p>
    <w:p w14:paraId="04F60EA1" w14:textId="77777777" w:rsidR="001E78C1" w:rsidRDefault="001E78C1" w:rsidP="001E78C1">
      <w:pPr>
        <w:spacing w:line="480" w:lineRule="auto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2E69DEE6" w14:textId="5B9BD98E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  <w:lang w:val="en-US"/>
        </w:rPr>
      </w:pPr>
      <w:r w:rsidRPr="001E78C1">
        <w:rPr>
          <w:rFonts w:ascii="Arial" w:hAnsi="Arial" w:cs="Arial"/>
          <w:b/>
          <w:bCs/>
          <w:sz w:val="22"/>
          <w:szCs w:val="22"/>
          <w:lang w:val="en-US"/>
        </w:rPr>
        <w:lastRenderedPageBreak/>
        <w:t xml:space="preserve">1.3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Confiabilidad</w:t>
      </w:r>
      <w:proofErr w:type="spellEnd"/>
      <w:r w:rsidRPr="001E78C1">
        <w:rPr>
          <w:rFonts w:ascii="Arial" w:hAnsi="Arial" w:cs="Arial"/>
          <w:b/>
          <w:bCs/>
          <w:sz w:val="22"/>
          <w:szCs w:val="22"/>
          <w:lang w:val="en-US"/>
        </w:rPr>
        <w:t xml:space="preserve"> del </w:t>
      </w: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instrumento</w:t>
      </w:r>
      <w:proofErr w:type="spellEnd"/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4391"/>
        <w:gridCol w:w="4437"/>
      </w:tblGrid>
      <w:tr w:rsidR="00175422" w:rsidRPr="001E78C1" w14:paraId="5635C610" w14:textId="77777777" w:rsidTr="001754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2E98F778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Dimension</w:t>
            </w:r>
          </w:p>
        </w:tc>
        <w:tc>
          <w:tcPr>
            <w:tcW w:w="4680" w:type="dxa"/>
          </w:tcPr>
          <w:p w14:paraId="3D5A8F3C" w14:textId="77777777" w:rsidR="00175422" w:rsidRPr="001E78C1" w:rsidRDefault="00175422" w:rsidP="001E78C1">
            <w:pPr>
              <w:spacing w:after="16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Alpha_Cronbach</w:t>
            </w:r>
          </w:p>
        </w:tc>
      </w:tr>
      <w:tr w:rsidR="00175422" w:rsidRPr="001E78C1" w14:paraId="6AB36C6A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67FC48C6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Planeación</w:t>
            </w:r>
            <w:proofErr w:type="spellEnd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financiera</w:t>
            </w:r>
            <w:proofErr w:type="spellEnd"/>
          </w:p>
        </w:tc>
        <w:tc>
          <w:tcPr>
            <w:tcW w:w="4680" w:type="dxa"/>
          </w:tcPr>
          <w:p w14:paraId="5480C28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0.79</w:t>
            </w:r>
          </w:p>
        </w:tc>
      </w:tr>
      <w:tr w:rsidR="00175422" w:rsidRPr="001E78C1" w14:paraId="227578BF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00530144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Tecnología</w:t>
            </w:r>
          </w:p>
        </w:tc>
        <w:tc>
          <w:tcPr>
            <w:tcW w:w="4680" w:type="dxa"/>
          </w:tcPr>
          <w:p w14:paraId="0B64509E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0.741</w:t>
            </w:r>
          </w:p>
        </w:tc>
      </w:tr>
      <w:tr w:rsidR="00175422" w:rsidRPr="001E78C1" w14:paraId="4C9B4F05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0FA5F3D9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Información</w:t>
            </w:r>
            <w:proofErr w:type="spellEnd"/>
          </w:p>
        </w:tc>
        <w:tc>
          <w:tcPr>
            <w:tcW w:w="4680" w:type="dxa"/>
          </w:tcPr>
          <w:p w14:paraId="6C88867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0.808</w:t>
            </w:r>
          </w:p>
        </w:tc>
      </w:tr>
      <w:tr w:rsidR="00175422" w:rsidRPr="001E78C1" w14:paraId="508093E1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7D33557E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Costos</w:t>
            </w:r>
          </w:p>
        </w:tc>
        <w:tc>
          <w:tcPr>
            <w:tcW w:w="4680" w:type="dxa"/>
          </w:tcPr>
          <w:p w14:paraId="3563CB72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0.738</w:t>
            </w:r>
          </w:p>
        </w:tc>
      </w:tr>
      <w:tr w:rsidR="00175422" w:rsidRPr="001E78C1" w14:paraId="13782393" w14:textId="77777777" w:rsidTr="001754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80" w:type="dxa"/>
          </w:tcPr>
          <w:p w14:paraId="6FB5F2CE" w14:textId="77777777" w:rsidR="00175422" w:rsidRPr="001E78C1" w:rsidRDefault="00175422" w:rsidP="001E78C1">
            <w:pPr>
              <w:spacing w:after="160" w:line="480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Ingresos</w:t>
            </w:r>
          </w:p>
        </w:tc>
        <w:tc>
          <w:tcPr>
            <w:tcW w:w="4680" w:type="dxa"/>
          </w:tcPr>
          <w:p w14:paraId="3230C166" w14:textId="77777777" w:rsidR="00175422" w:rsidRPr="001E78C1" w:rsidRDefault="00175422" w:rsidP="001E78C1">
            <w:pPr>
              <w:spacing w:after="160"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E78C1">
              <w:rPr>
                <w:rFonts w:ascii="Arial" w:hAnsi="Arial" w:cs="Arial"/>
                <w:sz w:val="22"/>
                <w:szCs w:val="22"/>
                <w:lang w:val="en-US"/>
              </w:rPr>
              <w:t>0.715</w:t>
            </w:r>
          </w:p>
        </w:tc>
      </w:tr>
    </w:tbl>
    <w:p w14:paraId="33CAF04F" w14:textId="77777777" w:rsidR="001E78C1" w:rsidRDefault="001E78C1" w:rsidP="001E78C1">
      <w:pPr>
        <w:spacing w:line="480" w:lineRule="auto"/>
        <w:rPr>
          <w:rFonts w:ascii="Arial" w:hAnsi="Arial" w:cs="Arial"/>
          <w:sz w:val="22"/>
          <w:szCs w:val="22"/>
        </w:rPr>
      </w:pPr>
    </w:p>
    <w:p w14:paraId="02F976C1" w14:textId="46332979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El coeficiente Alfa de Cronbach global supera el umbral de 0.70, lo que indica adecuada consistencia interna del instrumento (Cronbach, 1951).</w:t>
      </w:r>
    </w:p>
    <w:p w14:paraId="374D6E01" w14:textId="77777777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1E78C1">
        <w:rPr>
          <w:rFonts w:ascii="Arial" w:hAnsi="Arial" w:cs="Arial"/>
          <w:b/>
          <w:bCs/>
          <w:sz w:val="22"/>
          <w:szCs w:val="22"/>
        </w:rPr>
        <w:t>2. Conclusiones derivadas del estudio</w:t>
      </w:r>
    </w:p>
    <w:p w14:paraId="3081F66E" w14:textId="77777777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Los resultados permiten concluir que la organización cuenta con una base sólida en términos de Arquitectura de Negocio, evidenciada en procesos formales y alineación estratégica. No obstante, se identifican brechas relevantes en la Arquitectura de Datos y Tecnológica, principalmente asociadas a integración de información y automatización.</w:t>
      </w:r>
    </w:p>
    <w:p w14:paraId="04D7B12E" w14:textId="77777777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Desde la perspectiva del marco TOGAF (</w:t>
      </w:r>
      <w:proofErr w:type="spellStart"/>
      <w:r w:rsidRPr="001E78C1">
        <w:rPr>
          <w:rFonts w:ascii="Arial" w:hAnsi="Arial" w:cs="Arial"/>
          <w:sz w:val="22"/>
          <w:szCs w:val="22"/>
        </w:rPr>
        <w:t>The</w:t>
      </w:r>
      <w:proofErr w:type="spellEnd"/>
      <w:r w:rsidRPr="001E78C1">
        <w:rPr>
          <w:rFonts w:ascii="Arial" w:hAnsi="Arial" w:cs="Arial"/>
          <w:sz w:val="22"/>
          <w:szCs w:val="22"/>
        </w:rPr>
        <w:t xml:space="preserve"> Open </w:t>
      </w:r>
      <w:proofErr w:type="spellStart"/>
      <w:r w:rsidRPr="001E78C1">
        <w:rPr>
          <w:rFonts w:ascii="Arial" w:hAnsi="Arial" w:cs="Arial"/>
          <w:sz w:val="22"/>
          <w:szCs w:val="22"/>
        </w:rPr>
        <w:t>Group</w:t>
      </w:r>
      <w:proofErr w:type="spellEnd"/>
      <w:r w:rsidRPr="001E78C1">
        <w:rPr>
          <w:rFonts w:ascii="Arial" w:hAnsi="Arial" w:cs="Arial"/>
          <w:sz w:val="22"/>
          <w:szCs w:val="22"/>
        </w:rPr>
        <w:t>, 2018), los hallazgos justifican intervenciones prioritarias en las fases de Arquitectura de Datos y Arquitectura Tecnológica del ciclo ADM, con el fin de garantizar coherencia entre estrategia, procesos y capacidades analíticas.</w:t>
      </w:r>
    </w:p>
    <w:p w14:paraId="61B4F5AB" w14:textId="77777777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 xml:space="preserve">El análisis cualitativo complementa la evidencia estadística al identificar necesidades de gobierno de datos, estandarización de definiciones, integración de sistemas y fortalecimiento de capacidades analíticas. Estas conclusiones son coherentes </w:t>
      </w:r>
      <w:r w:rsidRPr="001E78C1">
        <w:rPr>
          <w:rFonts w:ascii="Arial" w:hAnsi="Arial" w:cs="Arial"/>
          <w:sz w:val="22"/>
          <w:szCs w:val="22"/>
        </w:rPr>
        <w:lastRenderedPageBreak/>
        <w:t>con la literatura sobre transformación digital en la función financiera (Bhimani &amp; Willcocks, 2014; Ross et al., 2006).</w:t>
      </w:r>
    </w:p>
    <w:p w14:paraId="764197A8" w14:textId="77777777" w:rsidR="00175422" w:rsidRPr="001E78C1" w:rsidRDefault="00175422" w:rsidP="00234FCC">
      <w:pPr>
        <w:spacing w:line="480" w:lineRule="auto"/>
        <w:ind w:firstLine="708"/>
        <w:rPr>
          <w:rFonts w:ascii="Arial" w:hAnsi="Arial" w:cs="Arial"/>
          <w:sz w:val="22"/>
          <w:szCs w:val="22"/>
        </w:rPr>
      </w:pPr>
      <w:r w:rsidRPr="001E78C1">
        <w:rPr>
          <w:rFonts w:ascii="Arial" w:hAnsi="Arial" w:cs="Arial"/>
          <w:sz w:val="22"/>
          <w:szCs w:val="22"/>
        </w:rPr>
        <w:t>En síntesis, la optimización de costos y el aseguramiento de ingresos no dependen exclusivamente de mejoras procedimentales, sino de una evolución integral de la arquitectura empresarial, articulando negocio, datos, aplicaciones y tecnología.</w:t>
      </w:r>
    </w:p>
    <w:p w14:paraId="4A380A79" w14:textId="77777777" w:rsidR="00175422" w:rsidRPr="001E78C1" w:rsidRDefault="00175422" w:rsidP="001E78C1">
      <w:pPr>
        <w:spacing w:line="480" w:lineRule="auto"/>
        <w:rPr>
          <w:rFonts w:ascii="Arial" w:hAnsi="Arial" w:cs="Arial"/>
          <w:b/>
          <w:bCs/>
          <w:sz w:val="22"/>
          <w:szCs w:val="22"/>
          <w:lang w:val="en-US"/>
        </w:rPr>
      </w:pPr>
      <w:proofErr w:type="spellStart"/>
      <w:r w:rsidRPr="001E78C1">
        <w:rPr>
          <w:rFonts w:ascii="Arial" w:hAnsi="Arial" w:cs="Arial"/>
          <w:b/>
          <w:bCs/>
          <w:sz w:val="22"/>
          <w:szCs w:val="22"/>
          <w:lang w:val="en-US"/>
        </w:rPr>
        <w:t>Referencias</w:t>
      </w:r>
      <w:proofErr w:type="spellEnd"/>
    </w:p>
    <w:p w14:paraId="57C7D724" w14:textId="77777777" w:rsidR="00234FCC" w:rsidRDefault="00175422" w:rsidP="00234FCC">
      <w:pPr>
        <w:pStyle w:val="Referencia"/>
        <w:rPr>
          <w:rFonts w:ascii="Arial" w:hAnsi="Arial" w:cs="Arial"/>
        </w:rPr>
      </w:pPr>
      <w:r w:rsidRPr="00234FCC">
        <w:rPr>
          <w:rFonts w:ascii="Arial" w:hAnsi="Arial" w:cs="Arial"/>
        </w:rPr>
        <w:t xml:space="preserve">Bhimani, A., &amp; Willcocks, L. (2014). </w:t>
      </w:r>
      <w:proofErr w:type="spellStart"/>
      <w:proofErr w:type="gramStart"/>
      <w:r w:rsidRPr="00234FCC">
        <w:rPr>
          <w:rFonts w:ascii="Arial" w:hAnsi="Arial" w:cs="Arial"/>
        </w:rPr>
        <w:t>Digitisation</w:t>
      </w:r>
      <w:proofErr w:type="spellEnd"/>
      <w:r w:rsidRPr="00234FCC">
        <w:rPr>
          <w:rFonts w:ascii="Arial" w:hAnsi="Arial" w:cs="Arial"/>
        </w:rPr>
        <w:t>, ‘</w:t>
      </w:r>
      <w:proofErr w:type="gramEnd"/>
      <w:r w:rsidRPr="00234FCC">
        <w:rPr>
          <w:rFonts w:ascii="Arial" w:hAnsi="Arial" w:cs="Arial"/>
        </w:rPr>
        <w:t xml:space="preserve">Big Data’ and the transformation of accounting information. Accounting and Business </w:t>
      </w:r>
      <w:proofErr w:type="spellStart"/>
      <w:r w:rsidRPr="00234FCC">
        <w:rPr>
          <w:rFonts w:ascii="Arial" w:hAnsi="Arial" w:cs="Arial"/>
        </w:rPr>
        <w:t>Research</w:t>
      </w:r>
      <w:proofErr w:type="spellEnd"/>
      <w:r w:rsidRPr="00234FCC">
        <w:rPr>
          <w:rFonts w:ascii="Arial" w:hAnsi="Arial" w:cs="Arial"/>
        </w:rPr>
        <w:t>, 44(4), 469–490.</w:t>
      </w:r>
    </w:p>
    <w:p w14:paraId="03B812BA" w14:textId="77777777" w:rsidR="00234FCC" w:rsidRDefault="00175422" w:rsidP="00234FCC">
      <w:pPr>
        <w:pStyle w:val="Referencia"/>
        <w:rPr>
          <w:rFonts w:ascii="Arial" w:hAnsi="Arial" w:cs="Arial"/>
        </w:rPr>
      </w:pPr>
      <w:r w:rsidRPr="00234FCC">
        <w:rPr>
          <w:rFonts w:ascii="Arial" w:hAnsi="Arial" w:cs="Arial"/>
          <w:lang w:val="en-US"/>
        </w:rPr>
        <w:t xml:space="preserve">Cronbach, L. J. (1951). Coefficient alpha and the internal structure of tests. </w:t>
      </w:r>
      <w:proofErr w:type="spellStart"/>
      <w:r w:rsidRPr="00234FCC">
        <w:rPr>
          <w:rFonts w:ascii="Arial" w:hAnsi="Arial" w:cs="Arial"/>
        </w:rPr>
        <w:t>Psychometrika</w:t>
      </w:r>
      <w:proofErr w:type="spellEnd"/>
      <w:r w:rsidRPr="00234FCC">
        <w:rPr>
          <w:rFonts w:ascii="Arial" w:hAnsi="Arial" w:cs="Arial"/>
        </w:rPr>
        <w:t>, 16(3), 297–334.</w:t>
      </w:r>
    </w:p>
    <w:p w14:paraId="3E83F85A" w14:textId="77777777" w:rsidR="00234FCC" w:rsidRDefault="00175422" w:rsidP="00234FCC">
      <w:pPr>
        <w:pStyle w:val="Referencia"/>
        <w:rPr>
          <w:rFonts w:ascii="Arial" w:hAnsi="Arial" w:cs="Arial"/>
        </w:rPr>
      </w:pPr>
      <w:r w:rsidRPr="00234FCC">
        <w:rPr>
          <w:rFonts w:ascii="Arial" w:hAnsi="Arial" w:cs="Arial"/>
        </w:rPr>
        <w:t xml:space="preserve">Hernández-Sampieri, R., Fernández-Collado, C., &amp; Baptista-Lucio, P. (2018). Metodología de la investigación (6ª ed.). McGraw-Hill </w:t>
      </w:r>
      <w:proofErr w:type="spellStart"/>
      <w:r w:rsidRPr="00234FCC">
        <w:rPr>
          <w:rFonts w:ascii="Arial" w:hAnsi="Arial" w:cs="Arial"/>
        </w:rPr>
        <w:t>Education</w:t>
      </w:r>
      <w:proofErr w:type="spellEnd"/>
      <w:r w:rsidRPr="00234FCC">
        <w:rPr>
          <w:rFonts w:ascii="Arial" w:hAnsi="Arial" w:cs="Arial"/>
        </w:rPr>
        <w:t>.</w:t>
      </w:r>
    </w:p>
    <w:p w14:paraId="3EC75265" w14:textId="77777777" w:rsidR="00234FCC" w:rsidRDefault="00175422" w:rsidP="00234FCC">
      <w:pPr>
        <w:pStyle w:val="Referencia"/>
        <w:rPr>
          <w:rFonts w:ascii="Arial" w:hAnsi="Arial" w:cs="Arial"/>
          <w:lang w:val="en-US"/>
        </w:rPr>
      </w:pPr>
      <w:r w:rsidRPr="00234FCC">
        <w:rPr>
          <w:rFonts w:ascii="Arial" w:hAnsi="Arial" w:cs="Arial"/>
          <w:lang w:val="en-US"/>
        </w:rPr>
        <w:t>Likert, R. (1932). A technique for the measurement of attitudes. Archives of Psychology, 140, 1–55</w:t>
      </w:r>
    </w:p>
    <w:p w14:paraId="19ECB909" w14:textId="77777777" w:rsidR="00234FCC" w:rsidRDefault="00175422" w:rsidP="00234FCC">
      <w:pPr>
        <w:pStyle w:val="Referencia"/>
        <w:rPr>
          <w:rFonts w:ascii="Arial" w:hAnsi="Arial" w:cs="Arial"/>
          <w:lang w:val="en-US"/>
        </w:rPr>
      </w:pPr>
      <w:r w:rsidRPr="001E78C1">
        <w:rPr>
          <w:rFonts w:ascii="Arial" w:hAnsi="Arial" w:cs="Arial"/>
          <w:lang w:val="en-US"/>
        </w:rPr>
        <w:t>Ross, J. W., Weill, P., &amp; Robertson, D. (2006). Enterprise architecture as strategy. Harvard Business School Press.</w:t>
      </w:r>
    </w:p>
    <w:p w14:paraId="132E30AA" w14:textId="3DE51F40" w:rsidR="00175422" w:rsidRPr="001E78C1" w:rsidRDefault="00175422" w:rsidP="00234FCC">
      <w:pPr>
        <w:pStyle w:val="Referencia"/>
        <w:rPr>
          <w:rFonts w:ascii="Arial" w:hAnsi="Arial" w:cs="Arial"/>
        </w:rPr>
      </w:pPr>
      <w:r w:rsidRPr="001E78C1">
        <w:rPr>
          <w:rFonts w:ascii="Arial" w:hAnsi="Arial" w:cs="Arial"/>
          <w:lang w:val="en-US"/>
        </w:rPr>
        <w:t xml:space="preserve">The Open Group. (2018). TOGAF® standard, version 9.2. </w:t>
      </w:r>
      <w:r w:rsidRPr="001E78C1">
        <w:rPr>
          <w:rFonts w:ascii="Arial" w:hAnsi="Arial" w:cs="Arial"/>
        </w:rPr>
        <w:t>The Open Group.</w:t>
      </w:r>
      <w:r w:rsidRPr="001E78C1">
        <w:rPr>
          <w:rFonts w:ascii="Arial" w:hAnsi="Arial" w:cs="Arial"/>
        </w:rPr>
        <w:tab/>
      </w:r>
    </w:p>
    <w:p w14:paraId="2604F2B5" w14:textId="77777777" w:rsidR="00175422" w:rsidRPr="001E78C1" w:rsidRDefault="00175422" w:rsidP="001E78C1">
      <w:pPr>
        <w:spacing w:line="480" w:lineRule="auto"/>
        <w:rPr>
          <w:rFonts w:ascii="Arial" w:hAnsi="Arial" w:cs="Arial"/>
          <w:sz w:val="22"/>
          <w:szCs w:val="22"/>
        </w:rPr>
      </w:pPr>
    </w:p>
    <w:sectPr w:rsidR="00175422" w:rsidRPr="001E78C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17723"/>
    <w:multiLevelType w:val="multilevel"/>
    <w:tmpl w:val="AE7EA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162892"/>
    <w:multiLevelType w:val="hybridMultilevel"/>
    <w:tmpl w:val="351A72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661E3A"/>
    <w:multiLevelType w:val="multilevel"/>
    <w:tmpl w:val="B39E3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215DCA"/>
    <w:multiLevelType w:val="hybridMultilevel"/>
    <w:tmpl w:val="B588C2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160C20"/>
    <w:multiLevelType w:val="multilevel"/>
    <w:tmpl w:val="CB52A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B83AF0"/>
    <w:multiLevelType w:val="multilevel"/>
    <w:tmpl w:val="AFB8A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7B234F"/>
    <w:multiLevelType w:val="multilevel"/>
    <w:tmpl w:val="73C0E9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0AB2AF5"/>
    <w:multiLevelType w:val="multilevel"/>
    <w:tmpl w:val="45729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F912306"/>
    <w:multiLevelType w:val="multilevel"/>
    <w:tmpl w:val="9B08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8953093">
    <w:abstractNumId w:val="0"/>
  </w:num>
  <w:num w:numId="2" w16cid:durableId="1771002373">
    <w:abstractNumId w:val="5"/>
  </w:num>
  <w:num w:numId="3" w16cid:durableId="1737164315">
    <w:abstractNumId w:val="4"/>
  </w:num>
  <w:num w:numId="4" w16cid:durableId="1810979200">
    <w:abstractNumId w:val="7"/>
  </w:num>
  <w:num w:numId="5" w16cid:durableId="542986274">
    <w:abstractNumId w:val="6"/>
  </w:num>
  <w:num w:numId="6" w16cid:durableId="858932716">
    <w:abstractNumId w:val="8"/>
  </w:num>
  <w:num w:numId="7" w16cid:durableId="918170327">
    <w:abstractNumId w:val="2"/>
  </w:num>
  <w:num w:numId="8" w16cid:durableId="1876382803">
    <w:abstractNumId w:val="3"/>
  </w:num>
  <w:num w:numId="9" w16cid:durableId="626817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422"/>
    <w:rsid w:val="00175422"/>
    <w:rsid w:val="001E78C1"/>
    <w:rsid w:val="00234FCC"/>
    <w:rsid w:val="00865D46"/>
    <w:rsid w:val="00963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17278"/>
  <w15:chartTrackingRefBased/>
  <w15:docId w15:val="{246C5BA9-F18D-43D9-A372-DCE124413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54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754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754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754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754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754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754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754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754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754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754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754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7542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7542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7542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7542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7542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7542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754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754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754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754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754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7542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7542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7542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754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7542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75422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175422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75422"/>
    <w:rPr>
      <w:color w:val="605E5C"/>
      <w:shd w:val="clear" w:color="auto" w:fill="E1DFDD"/>
    </w:rPr>
  </w:style>
  <w:style w:type="table" w:styleId="Tablaconcuadrcula1clara">
    <w:name w:val="Grid Table 1 Light"/>
    <w:basedOn w:val="Tablanormal"/>
    <w:uiPriority w:val="46"/>
    <w:rsid w:val="0017542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Referencia">
    <w:name w:val="Referencia"/>
    <w:basedOn w:val="Normal"/>
    <w:qFormat/>
    <w:rsid w:val="00234FCC"/>
    <w:pPr>
      <w:spacing w:before="120" w:line="480" w:lineRule="auto"/>
      <w:ind w:left="720" w:hanging="720"/>
      <w:contextualSpacing/>
    </w:pPr>
    <w:rPr>
      <w:rFonts w:eastAsia="Times New Roman" w:cstheme="minorHAnsi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bfd0b529-4a04-4616-88d2-531082d94bb8}" enabled="1" method="Standard" siteId="{e1f8af86-ee95-4718-bd0d-375b37366c8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644</Words>
  <Characters>3544</Characters>
  <Application>Microsoft Office Word</Application>
  <DocSecurity>0</DocSecurity>
  <Lines>29</Lines>
  <Paragraphs>8</Paragraphs>
  <ScaleCrop>false</ScaleCrop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CAROLINA SUAREZ CORTES</dc:creator>
  <cp:keywords/>
  <dc:description/>
  <cp:lastModifiedBy>Rodriguez,Alexandra (HP MA) BI-CO-B</cp:lastModifiedBy>
  <cp:revision>2</cp:revision>
  <dcterms:created xsi:type="dcterms:W3CDTF">2026-02-18T16:52:00Z</dcterms:created>
  <dcterms:modified xsi:type="dcterms:W3CDTF">2026-02-18T16:52:00Z</dcterms:modified>
</cp:coreProperties>
</file>